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76"/>
        <w:jc w:val="center"/>
        <w:rPr>
          <w:rFonts w:cs="Arial"/>
          <w:b/>
          <w:b/>
          <w:bCs/>
          <w:color w:val="000000" w:themeColor="text1"/>
          <w:szCs w:val="20"/>
        </w:rPr>
      </w:pPr>
      <w:r>
        <w:rPr>
          <w:rFonts w:cs="Arial"/>
          <w:b/>
          <w:bCs/>
          <w:color w:val="000000" w:themeColor="text1"/>
          <w:szCs w:val="20"/>
        </w:rPr>
      </w:r>
    </w:p>
    <w:p>
      <w:pPr>
        <w:pStyle w:val="Normal"/>
        <w:spacing w:lineRule="auto" w:line="276"/>
        <w:jc w:val="center"/>
        <w:rPr>
          <w:rFonts w:cs="Arial"/>
          <w:b/>
          <w:b/>
          <w:bCs/>
          <w:color w:val="000000" w:themeColor="text1"/>
          <w:szCs w:val="20"/>
        </w:rPr>
      </w:pPr>
      <w:r>
        <w:rPr>
          <w:rFonts w:cs="Arial"/>
          <w:b/>
          <w:bCs/>
          <w:color w:val="000000" w:themeColor="text1"/>
          <w:szCs w:val="20"/>
        </w:rPr>
        <w:t>AVISO DE DISPENSA ELETRÔNICA Nº 08/2026</w:t>
      </w:r>
    </w:p>
    <w:p>
      <w:pPr>
        <w:pStyle w:val="Normal"/>
        <w:spacing w:lineRule="auto" w:line="276" w:before="0" w:after="120"/>
        <w:ind w:right="-15" w:hanging="0"/>
        <w:jc w:val="center"/>
        <w:rPr>
          <w:rFonts w:cs="Arial"/>
          <w:b/>
          <w:b/>
          <w:bCs/>
          <w:color w:val="000000"/>
          <w:szCs w:val="20"/>
        </w:rPr>
      </w:pPr>
      <w:r>
        <w:rPr>
          <w:rFonts w:cs="Arial"/>
          <w:b/>
          <w:bCs/>
          <w:color w:val="000000" w:themeColor="text1"/>
          <w:szCs w:val="20"/>
        </w:rPr>
        <w:t>(Processo Administrativ</w:t>
      </w:r>
      <w:r>
        <w:rPr>
          <w:rFonts w:cs="Arial"/>
          <w:b/>
          <w:bCs/>
          <w:color w:val="auto"/>
          <w:szCs w:val="20"/>
        </w:rPr>
        <w:t xml:space="preserve">o n.° </w:t>
      </w:r>
      <w:r>
        <w:rPr>
          <w:rFonts w:cs="Arial"/>
          <w:b/>
          <w:bCs/>
          <w:i w:val="false"/>
          <w:caps w:val="false"/>
          <w:smallCaps w:val="false"/>
          <w:color w:val="auto"/>
          <w:spacing w:val="0"/>
          <w:sz w:val="21"/>
          <w:szCs w:val="20"/>
        </w:rPr>
        <w:t>23544.001523/2025-98</w:t>
      </w:r>
      <w:r>
        <w:rPr>
          <w:rFonts w:cs="Arial"/>
          <w:b/>
          <w:bCs/>
          <w:color w:val="auto"/>
          <w:szCs w:val="20"/>
        </w:rPr>
        <w:t>)</w:t>
      </w:r>
    </w:p>
    <w:p>
      <w:pPr>
        <w:pStyle w:val="Normal"/>
        <w:rPr>
          <w:rFonts w:cs="Arial"/>
        </w:rPr>
      </w:pPr>
      <w:r>
        <w:rPr>
          <w:rFonts w:cs="Arial"/>
        </w:rPr>
      </w:r>
    </w:p>
    <w:p>
      <w:pPr>
        <w:pStyle w:val="Normal"/>
        <w:snapToGrid w:val="false"/>
        <w:spacing w:lineRule="auto" w:line="276" w:before="0" w:after="120"/>
        <w:ind w:right="-30" w:firstLine="540"/>
        <w:jc w:val="both"/>
        <w:rPr>
          <w:rFonts w:cs="Arial"/>
          <w:color w:val="000000"/>
          <w:szCs w:val="20"/>
        </w:rPr>
      </w:pPr>
      <w:r>
        <w:rPr>
          <w:rFonts w:cs="Arial"/>
          <w:color w:val="000000" w:themeColor="text1"/>
          <w:szCs w:val="20"/>
        </w:rPr>
        <w:t xml:space="preserve">Torna-se público que o(a) Instituto Federal do Espírito Santo, por meio do(a)  Coordenadoria de Licitações e Compras, realizará Dispensa Eletrônica, </w:t>
      </w:r>
      <w:r>
        <w:rPr>
          <w:rFonts w:cs="Arial"/>
          <w:bCs/>
          <w:color w:val="000000" w:themeColor="text1"/>
          <w:szCs w:val="20"/>
        </w:rPr>
        <w:t>com critério de julgamento menor preço</w:t>
      </w:r>
      <w:r>
        <w:rPr>
          <w:rFonts w:cs="Arial"/>
          <w:b/>
          <w:bCs/>
          <w:i/>
          <w:color w:val="auto"/>
          <w:szCs w:val="20"/>
        </w:rPr>
        <w:t>,</w:t>
      </w:r>
      <w:r>
        <w:rPr>
          <w:rFonts w:cs="Arial"/>
          <w:b/>
          <w:bCs/>
          <w:i/>
          <w:color w:val="FF0000"/>
          <w:szCs w:val="20"/>
        </w:rPr>
        <w:t xml:space="preserve"> </w:t>
      </w:r>
      <w:r>
        <w:rPr>
          <w:rFonts w:cs="Arial"/>
          <w:color w:val="000000" w:themeColor="text1"/>
          <w:szCs w:val="20"/>
        </w:rPr>
        <w:t>na hipóte</w:t>
      </w:r>
      <w:r>
        <w:rPr>
          <w:rFonts w:cs="Arial"/>
          <w:i w:val="false"/>
          <w:iCs w:val="false"/>
          <w:color w:val="auto"/>
          <w:szCs w:val="20"/>
        </w:rPr>
        <w:t xml:space="preserve">se do art. 75, inciso </w:t>
      </w:r>
      <w:r>
        <w:rPr>
          <w:rFonts w:cs="Arial"/>
          <w:b/>
          <w:i w:val="false"/>
          <w:iCs w:val="false"/>
          <w:color w:val="auto"/>
          <w:szCs w:val="20"/>
        </w:rPr>
        <w:t>II</w:t>
      </w:r>
      <w:r>
        <w:rPr>
          <w:rFonts w:cs="Arial"/>
          <w:i w:val="false"/>
          <w:iCs w:val="false"/>
          <w:color w:val="auto"/>
          <w:szCs w:val="20"/>
        </w:rPr>
        <w:t xml:space="preserve">, </w:t>
      </w:r>
      <w:r>
        <w:rPr>
          <w:rFonts w:cs="Arial"/>
          <w:bCs/>
          <w:i w:val="false"/>
          <w:iCs w:val="false"/>
          <w:color w:val="auto"/>
          <w:szCs w:val="20"/>
        </w:rPr>
        <w:t>nos term</w:t>
      </w:r>
      <w:r>
        <w:rPr>
          <w:rFonts w:cs="Arial"/>
          <w:bCs/>
          <w:szCs w:val="20"/>
        </w:rPr>
        <w:t>os da Lei nº 14.133, de 1º de abril de 2021, da Instrução Normativa SEGES/ME nº 67/2021 e demais legislação aplicável</w:t>
      </w:r>
      <w:r>
        <w:rPr>
          <w:rFonts w:cs="Arial"/>
          <w:color w:val="000000"/>
          <w:szCs w:val="20"/>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color w:themeColor="text1"/>
          <w:shd w:fill="auto" w:val="clear"/>
        </w:rPr>
      </w:pPr>
      <w:r>
        <w:rPr>
          <w:rFonts w:cs="Arial"/>
          <w:color w:val="000000" w:themeColor="text1"/>
          <w:szCs w:val="20"/>
          <w:shd w:fill="auto" w:val="clear"/>
        </w:rPr>
        <w:t>Data da sessão: 17/04/2026</w:t>
      </w:r>
    </w:p>
    <w:p>
      <w:pPr>
        <w:pStyle w:val="Normal"/>
        <w:rPr>
          <w:rFonts w:cs="Arial"/>
          <w:color w:val="000000" w:themeColor="text1"/>
          <w:szCs w:val="20"/>
        </w:rPr>
      </w:pPr>
      <w:r>
        <w:rPr>
          <w:rFonts w:cs="Arial"/>
          <w:color w:val="000000" w:themeColor="text1"/>
          <w:szCs w:val="20"/>
        </w:rPr>
        <w:t xml:space="preserve">Link: </w:t>
      </w:r>
      <w:r>
        <w:rPr>
          <w:rFonts w:cs="Arial"/>
          <w:i w:val="false"/>
          <w:iCs w:val="false"/>
          <w:color w:val="auto"/>
          <w:szCs w:val="20"/>
        </w:rPr>
        <w:t xml:space="preserve"> </w:t>
      </w:r>
      <w:r>
        <w:rPr>
          <w:rFonts w:cs="Arial" w:ascii="ArialMT" w:hAnsi="ArialMT"/>
          <w:i w:val="false"/>
          <w:iCs w:val="false"/>
          <w:color w:val="000000" w:themeColor="text1"/>
          <w:sz w:val="20"/>
          <w:szCs w:val="20"/>
        </w:rPr>
        <w:t>https://www.gov.br/compras/pt-br</w:t>
      </w:r>
    </w:p>
    <w:p>
      <w:pPr>
        <w:pStyle w:val="Normal"/>
        <w:rPr/>
      </w:pPr>
      <w:r>
        <w:rPr/>
        <w:t>Horário da Fase de Lances: 12:00 do dia 17/04 às 12:00 do dia 24/04</w:t>
      </w:r>
    </w:p>
    <w:p>
      <w:pPr>
        <w:pStyle w:val="PADRO"/>
        <w:keepNext w:val="false"/>
        <w:widowControl/>
        <w:shd w:val="clear" w:color="auto" w:fill="auto"/>
        <w:spacing w:before="120" w:after="120"/>
        <w:ind w:left="360" w:hanging="0"/>
        <w:rPr>
          <w:rFonts w:ascii="Arial" w:hAnsi="Arial" w:cs="Arial"/>
          <w:b/>
          <w:b/>
        </w:rPr>
      </w:pPr>
      <w:r>
        <w:rPr>
          <w:rFonts w:cs="Arial" w:ascii="Arial" w:hAnsi="Arial"/>
          <w:b/>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OBJETO DA CONTRATAÇÃO DIRETA</w:t>
      </w:r>
      <w:bookmarkStart w:id="0" w:name="_GoBack"/>
      <w:bookmarkEnd w:id="0"/>
    </w:p>
    <w:p>
      <w:pPr>
        <w:pStyle w:val="PADRO"/>
        <w:widowControl/>
        <w:numPr>
          <w:ilvl w:val="1"/>
          <w:numId w:val="1"/>
        </w:numPr>
        <w:shd w:val="clear" w:color="auto" w:fill="auto"/>
        <w:spacing w:before="120" w:after="120"/>
        <w:rPr>
          <w:rFonts w:ascii="Arial" w:hAnsi="Arial" w:cs="Arial"/>
          <w:szCs w:val="20"/>
        </w:rPr>
      </w:pPr>
      <w:r>
        <w:rPr>
          <w:rFonts w:cs="Arial" w:ascii="Arial" w:hAnsi="Arial"/>
          <w:color w:val="000000" w:themeColor="text1"/>
          <w:szCs w:val="20"/>
        </w:rPr>
        <w:t>O objeto da presente disp</w:t>
      </w:r>
      <w:r>
        <w:rPr>
          <w:rFonts w:eastAsia="WenQuanYi Micro Hei" w:cs="Arial" w:ascii="Arial" w:hAnsi="Arial"/>
          <w:color w:val="000000" w:themeColor="text1"/>
          <w:kern w:val="0"/>
          <w:sz w:val="20"/>
          <w:szCs w:val="20"/>
          <w:lang w:val="pt-BR" w:eastAsia="zh-CN" w:bidi="hi-IN"/>
        </w:rPr>
        <w:t xml:space="preserve">ensa é a aquisição de materiais para Enfermaria para o Ifes Campus Centro-Serrano, nos termos da tabela abaixo, </w:t>
      </w:r>
      <w:r>
        <w:rPr>
          <w:rFonts w:cs="Arial" w:ascii="Arial" w:hAnsi="Arial"/>
          <w:color w:val="000000" w:themeColor="text1"/>
          <w:szCs w:val="20"/>
        </w:rPr>
        <w:t>conforme as condições e exigências detalhadas</w:t>
      </w:r>
      <w:r>
        <w:rPr>
          <w:rFonts w:eastAsia="WenQuanYi Micro Hei" w:cs="Arial" w:ascii="Arial" w:hAnsi="Arial"/>
          <w:color w:val="000000" w:themeColor="text1"/>
          <w:kern w:val="0"/>
          <w:sz w:val="20"/>
          <w:szCs w:val="20"/>
          <w:lang w:val="pt-BR" w:eastAsia="zh-CN" w:bidi="hi-IN"/>
        </w:rPr>
        <w:t xml:space="preserve"> ne</w:t>
      </w:r>
      <w:r>
        <w:rPr>
          <w:rFonts w:cs="Arial" w:ascii="Arial" w:hAnsi="Arial"/>
          <w:color w:val="000000" w:themeColor="text1"/>
          <w:szCs w:val="20"/>
        </w:rPr>
        <w:t>ste Aviso de Contratação Direta e seus anexos.</w:t>
      </w:r>
    </w:p>
    <w:p>
      <w:pPr>
        <w:pStyle w:val="PADRO"/>
        <w:keepNext w:val="false"/>
        <w:widowControl/>
        <w:numPr>
          <w:ilvl w:val="1"/>
          <w:numId w:val="1"/>
        </w:numPr>
        <w:shd w:val="clear" w:color="auto" w:fill="auto"/>
        <w:spacing w:before="120" w:after="120"/>
        <w:rPr>
          <w:rFonts w:ascii="Arial" w:hAnsi="Arial"/>
          <w:i w:val="false"/>
          <w:i w:val="false"/>
          <w:iCs w:val="false"/>
          <w:color w:val="auto"/>
        </w:rPr>
      </w:pPr>
      <w:r>
        <w:rPr>
          <w:rFonts w:cs="Arial" w:ascii="Arial" w:hAnsi="Arial"/>
          <w:i w:val="false"/>
          <w:iCs w:val="false"/>
          <w:color w:val="auto"/>
          <w:szCs w:val="20"/>
        </w:rPr>
        <w:t>A contratação se dará por item único</w:t>
      </w:r>
      <w:r>
        <w:rPr>
          <w:rFonts w:cs="Arial" w:ascii="Arial" w:hAnsi="Arial"/>
          <w:b/>
          <w:bCs/>
          <w:i w:val="false"/>
          <w:iCs w:val="false"/>
          <w:color w:val="auto"/>
          <w:szCs w:val="20"/>
        </w:rPr>
        <w:t>,</w:t>
      </w:r>
      <w:r>
        <w:rPr>
          <w:rFonts w:cs="Arial" w:ascii="Arial" w:hAnsi="Arial"/>
          <w:i w:val="false"/>
          <w:iCs w:val="false"/>
          <w:color w:val="auto"/>
          <w:szCs w:val="20"/>
        </w:rPr>
        <w:t xml:space="preserve"> conforme tabela constante abaixo.</w:t>
      </w:r>
    </w:p>
    <w:tbl>
      <w:tblPr>
        <w:tblW w:w="9975" w:type="dxa"/>
        <w:jc w:val="left"/>
        <w:tblInd w:w="-449" w:type="dxa"/>
        <w:tblLayout w:type="fixed"/>
        <w:tblCellMar>
          <w:top w:w="0" w:type="dxa"/>
          <w:left w:w="108" w:type="dxa"/>
          <w:bottom w:w="0" w:type="dxa"/>
          <w:right w:w="108" w:type="dxa"/>
        </w:tblCellMar>
        <w:tblLook w:firstRow="1" w:noVBand="1" w:lastRow="0" w:firstColumn="1" w:lastColumn="0" w:noHBand="0" w:val="04a0"/>
      </w:tblPr>
      <w:tblGrid>
        <w:gridCol w:w="852"/>
        <w:gridCol w:w="620"/>
        <w:gridCol w:w="4474"/>
        <w:gridCol w:w="1028"/>
        <w:gridCol w:w="842"/>
        <w:gridCol w:w="1080"/>
        <w:gridCol w:w="1078"/>
      </w:tblGrid>
      <w:tr>
        <w:trPr/>
        <w:tc>
          <w:tcPr>
            <w:tcW w:w="852" w:type="dxa"/>
            <w:tcBorders>
              <w:top w:val="single" w:sz="4" w:space="0" w:color="000000"/>
              <w:left w:val="single" w:sz="4" w:space="0" w:color="000000"/>
              <w:bottom w:val="single" w:sz="4" w:space="0" w:color="000000"/>
            </w:tcBorders>
            <w:vAlign w:val="center"/>
          </w:tcPr>
          <w:p>
            <w:pPr>
              <w:pStyle w:val="Normal"/>
              <w:widowControl w:val="false"/>
              <w:suppressAutoHyphens w:val="true"/>
              <w:jc w:val="center"/>
              <w:rPr>
                <w:rFonts w:ascii="Arial" w:hAnsi="Arial" w:eastAsia="Times New Roman" w:cs="Arial"/>
                <w:b/>
                <w:b/>
                <w:bCs/>
                <w:color w:val="000000"/>
                <w:kern w:val="0"/>
                <w:sz w:val="16"/>
                <w:szCs w:val="16"/>
                <w:lang w:val="pt-BR" w:eastAsia="pt-BR" w:bidi="ar-SA"/>
              </w:rPr>
            </w:pPr>
            <w:r>
              <w:rPr>
                <w:rFonts w:eastAsia="Times New Roman" w:cs="Arial"/>
                <w:b/>
                <w:bCs/>
                <w:color w:val="000000"/>
                <w:kern w:val="0"/>
                <w:sz w:val="16"/>
                <w:szCs w:val="16"/>
                <w:lang w:val="pt-BR" w:eastAsia="pt-BR" w:bidi="ar-SA"/>
              </w:rPr>
              <w:t>GRUPO</w:t>
            </w:r>
          </w:p>
        </w:tc>
        <w:tc>
          <w:tcPr>
            <w:tcW w:w="6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ITEM</w:t>
            </w:r>
          </w:p>
        </w:tc>
        <w:tc>
          <w:tcPr>
            <w:tcW w:w="44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6"/>
                <w:szCs w:val="16"/>
              </w:rPr>
            </w:pPr>
            <w:r>
              <w:rPr>
                <w:rFonts w:cs="Arial"/>
                <w:b/>
                <w:bCs/>
                <w:color w:val="000000"/>
                <w:sz w:val="16"/>
                <w:szCs w:val="16"/>
              </w:rPr>
              <w:t>DESCRIÇÃO/</w:t>
            </w:r>
          </w:p>
          <w:p>
            <w:pPr>
              <w:pStyle w:val="Normal"/>
              <w:widowControl w:val="false"/>
              <w:suppressAutoHyphens w:val="true"/>
              <w:jc w:val="center"/>
              <w:rPr>
                <w:rFonts w:ascii="Arial" w:hAnsi="Arial"/>
                <w:sz w:val="16"/>
                <w:szCs w:val="16"/>
              </w:rPr>
            </w:pPr>
            <w:r>
              <w:rPr>
                <w:rFonts w:cs="Arial"/>
                <w:b/>
                <w:bCs/>
                <w:color w:val="000000"/>
                <w:sz w:val="16"/>
                <w:szCs w:val="16"/>
              </w:rPr>
              <w:t>ESPECIFICAÇÃO</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UNIDADE DE MEDIDA</w:t>
            </w:r>
          </w:p>
        </w:tc>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QUANT.</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VALOR UNITÁRIO ESTIMADO</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VALOR ESTIMADO TOTAL</w:t>
            </w:r>
          </w:p>
        </w:tc>
      </w:tr>
      <w:tr>
        <w:trPr/>
        <w:tc>
          <w:tcPr>
            <w:tcW w:w="852" w:type="dxa"/>
            <w:vMerge w:val="restart"/>
            <w:tcBorders>
              <w:top w:val="single" w:sz="4" w:space="0" w:color="000000"/>
              <w:left w:val="single" w:sz="4" w:space="0" w:color="000000"/>
              <w:bottom w:val="single" w:sz="4" w:space="0" w:color="000000"/>
            </w:tcBorders>
            <w:vAlign w:val="center"/>
          </w:tcPr>
          <w:p>
            <w:pPr>
              <w:pStyle w:val="Normal"/>
              <w:widowControl w:val="false"/>
              <w:jc w:val="center"/>
              <w:rPr>
                <w:rFonts w:ascii="Arial" w:hAnsi="Arial"/>
                <w:b/>
                <w:b/>
                <w:bCs/>
                <w:sz w:val="16"/>
                <w:szCs w:val="16"/>
                <w:eastAsianLayout w:vert="true"/>
              </w:rPr>
            </w:pPr>
            <w:r>
              <w:rPr>
                <w:b/>
                <w:bCs/>
                <w:sz w:val="16"/>
                <w:szCs w:val="16"/>
                <w:eastAsianLayout w:vert="true"/>
              </w:rPr>
              <w:t>GRUPO 1</w:t>
            </w:r>
          </w:p>
        </w:tc>
        <w:tc>
          <w:tcPr>
            <w:tcW w:w="6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6"/>
                <w:szCs w:val="16"/>
              </w:rPr>
            </w:pPr>
            <w:r>
              <w:rPr>
                <w:rFonts w:cs="Arial"/>
                <w:b w:val="false"/>
                <w:bCs w:val="false"/>
                <w:color w:val="000000"/>
                <w:sz w:val="16"/>
                <w:szCs w:val="16"/>
              </w:rPr>
              <w:t>1</w:t>
            </w:r>
          </w:p>
        </w:tc>
        <w:tc>
          <w:tcPr>
            <w:tcW w:w="44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6"/>
                <w:szCs w:val="16"/>
              </w:rPr>
            </w:pPr>
            <w:r>
              <w:rPr>
                <w:sz w:val="16"/>
                <w:szCs w:val="16"/>
              </w:rPr>
              <w:t>Atadura Crepom Tipo: Cerca De 13 Fios / Cm², Material: Faixa De Tecido 100% Algodão, Largura: Cerca De 15 Cm, Comprimento Em Repouso: Rolo Cerca De 1,8 M, Esterilidade: Estéril</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rFonts w:cs="Arial"/>
                <w:b w:val="false"/>
                <w:bCs w:val="false"/>
                <w:color w:val="000000"/>
                <w:sz w:val="16"/>
                <w:szCs w:val="16"/>
              </w:rPr>
              <w:t>20</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rFonts w:cs="Arial"/>
                <w:b w:val="false"/>
                <w:bCs w:val="false"/>
                <w:color w:val="000000"/>
                <w:sz w:val="16"/>
                <w:szCs w:val="16"/>
              </w:rPr>
              <w:t>R$  1,19</w:t>
            </w:r>
          </w:p>
        </w:tc>
        <w:tc>
          <w:tcPr>
            <w:tcW w:w="107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rFonts w:cs="Arial"/>
                <w:b w:val="false"/>
                <w:bCs w:val="false"/>
                <w:color w:val="000000"/>
                <w:sz w:val="16"/>
                <w:szCs w:val="16"/>
              </w:rPr>
              <w:t>R$  23,70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rFonts w:cs="Arial"/>
                <w:b w:val="false"/>
                <w:bCs w:val="false"/>
                <w:color w:val="000000"/>
                <w:sz w:val="16"/>
                <w:szCs w:val="16"/>
              </w:rPr>
              <w:t>2</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6"/>
                <w:szCs w:val="16"/>
              </w:rPr>
            </w:pPr>
            <w:r>
              <w:rPr>
                <w:sz w:val="16"/>
                <w:szCs w:val="16"/>
              </w:rPr>
            </w:r>
          </w:p>
          <w:p>
            <w:pPr>
              <w:pStyle w:val="Normal"/>
              <w:widowControl w:val="false"/>
              <w:jc w:val="center"/>
              <w:rPr>
                <w:rFonts w:ascii="Arial" w:hAnsi="Arial"/>
                <w:sz w:val="16"/>
                <w:szCs w:val="16"/>
              </w:rPr>
            </w:pPr>
            <w:r>
              <w:rPr>
                <w:sz w:val="16"/>
                <w:szCs w:val="16"/>
              </w:rPr>
              <w:t>Luva P/ Procedimento De Saúde Não Cirúrgico C/ Anvisa</w:t>
            </w:r>
          </w:p>
          <w:p>
            <w:pPr>
              <w:pStyle w:val="Normal"/>
              <w:widowControl w:val="false"/>
              <w:jc w:val="center"/>
              <w:rPr>
                <w:rFonts w:ascii="Arial" w:hAnsi="Arial"/>
                <w:sz w:val="16"/>
                <w:szCs w:val="16"/>
              </w:rPr>
            </w:pPr>
            <w:r>
              <w:rPr>
                <w:sz w:val="16"/>
                <w:szCs w:val="16"/>
              </w:rPr>
              <w:t>Material: Borracha Natural Látex, Superfície: Superfície Texturizada, Formato: Ambidestra, Pó: Com Pó Bioabsorvível, Cor: C/ Cor, Tamanho: Grande G, Esterilidade: Não Estéril, Uso Único</w:t>
            </w:r>
          </w:p>
          <w:p>
            <w:pPr>
              <w:pStyle w:val="Normal"/>
              <w:widowControl w:val="false"/>
              <w:jc w:val="center"/>
              <w:rPr>
                <w:rFonts w:ascii="Arial" w:hAnsi="Arial"/>
                <w:sz w:val="16"/>
                <w:szCs w:val="16"/>
              </w:rPr>
            </w:pPr>
            <w:r>
              <w:rPr>
                <w:sz w:val="16"/>
                <w:szCs w:val="16"/>
              </w:rPr>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CX c/100</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R$ 18,82</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R$ 37,63</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3</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szCs w:val="16"/>
              </w:rPr>
              <w:t xml:space="preserve">Máscara Cirúrgica Material: Não Tecido 100% Polipropileno, Filtro: Elemento Filtrante Interno, Eficiência: Efp Maior Que 98% E Bfe Maior Que 95%, Quantidade </w:t>
            </w:r>
            <w:r>
              <w:rPr>
                <w:sz w:val="16"/>
              </w:rPr>
              <w:t>Camadas: Mínimo 3 Camadas, Modelo:</w:t>
            </w:r>
          </w:p>
          <w:p>
            <w:pPr>
              <w:pStyle w:val="Normal"/>
              <w:widowControl w:val="false"/>
              <w:jc w:val="center"/>
              <w:rPr>
                <w:rFonts w:ascii="Arial" w:hAnsi="Arial"/>
              </w:rPr>
            </w:pPr>
            <w:r>
              <w:rPr>
                <w:sz w:val="16"/>
              </w:rPr>
              <w:t xml:space="preserve">Ajustável, Clipe Nasal, Formato: Retangular, C/ Pregas Horizontais, Cor: C/ Cor, Tamanho: Adulto, </w:t>
            </w:r>
            <w:r>
              <w:rPr>
                <w:sz w:val="16"/>
                <w:szCs w:val="16"/>
              </w:rPr>
              <w:t>Esterilidade: Descartável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CX c/100</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R$ 12,00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R$ 24,00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4</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Bolsa Térmica Uso Em Saúde Material*: Polímero, Composição: C/ Gel Atóxico, Capacidade*: Cerca de 1000 ML, Características </w:t>
            </w:r>
            <w:r>
              <w:rPr>
                <w:sz w:val="16"/>
                <w:szCs w:val="16"/>
              </w:rPr>
              <w:t>Adicionais*: Selada</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R$ 29,90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R$ 59,80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5</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Imobilizador (Órtese) Tipo: Bota Anatômica, Material: Tecido Resistente, Adicionais: C/ Barbatanas Em Duralumínio, Tamanho: Tamanho M, Posição: Bilateral, Modelo: Longo, Tipo Fecho: Tiras C/ Velcro Ajustáveis, Tipo Sola: Sola De Borracha </w:t>
            </w:r>
            <w:r>
              <w:rPr>
                <w:sz w:val="16"/>
                <w:szCs w:val="16"/>
              </w:rPr>
              <w:t>Antiderrapante</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R$ 109,86</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R$ 109,86</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6</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Imobilizador (Órtese) Tipo: Tipoia Funcional, Material: Tecido Resistente Acolchoado, Adicionais: Apoio Para Abdução E Alças Reguláveis, Tamanho: Tamanho M, Posição: Bilateral, Tipo Fecho: Fecho De Engate </w:t>
            </w:r>
            <w:r>
              <w:rPr>
                <w:sz w:val="16"/>
                <w:szCs w:val="16"/>
              </w:rPr>
              <w:t>Rápido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R$ 48,00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R$ 48,00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7</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Clorexidina Digliconato Aspecto Físico: Líquido, Concentração: Em Solução </w:t>
            </w:r>
            <w:r>
              <w:rPr>
                <w:sz w:val="16"/>
                <w:szCs w:val="16"/>
              </w:rPr>
              <w:t>Aquosa À 20%</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Frasco</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R$ 16,50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R$ 33,00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8</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Gaze Uso Em Saúde Modelo: Compressa C/ Dobras E Camadas, Material: Tecido 100% Viscose / Rayon, Densidade: Cerca De 13 Fios / Cm2, Radiopacidade: Sem Elemento Radiopaco, Dimensão Fechada: Cerca De 7,5 X 7,5 Cm, Esterilidade: Estéril, Uso </w:t>
            </w:r>
            <w:r>
              <w:rPr>
                <w:sz w:val="16"/>
                <w:szCs w:val="16"/>
              </w:rPr>
              <w:t>Único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PCT</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50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R$ 0,63</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R$ 31,25</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9</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Lanceta Material Lâmina: aço desligada, ponta afiada, trifacetada. Uso: descartável. Características adicionais: estéril, embalagem individual. </w:t>
            </w:r>
            <w:r>
              <w:rPr>
                <w:sz w:val="16"/>
                <w:szCs w:val="16"/>
              </w:rPr>
              <w:t>Tipo: com sistema retrátil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CX c/200</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R$ 25,14</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R$ 50,28</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10</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Oxímetro Digital De Dedo Medidor De Saturação De </w:t>
            </w:r>
            <w:r>
              <w:rPr>
                <w:sz w:val="16"/>
                <w:szCs w:val="16"/>
              </w:rPr>
              <w:t>Oxigênio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R$ 95,48</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R$ 190,96</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11</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Esfigmomanômetro Ajuste: Digital, Elétrico. Tipo*: De Braço, Faixa De Operação: Até 300MMHG, Material Braçadeira: Braçadeira Em Nylon, Tipo Fecho: Fecho Em Velcro, Tamanho: </w:t>
            </w:r>
            <w:r>
              <w:rPr>
                <w:sz w:val="16"/>
                <w:szCs w:val="16"/>
              </w:rPr>
              <w:t>Adulto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R$ 101,90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R$ 203,80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12</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Termômetro Clínico Ajuste: Digital, Escala: Até 43°C, Tipo*: Uso Axilar E Oral, Componentes: C /Alarmes, Memória: Memória Última Medição, Embalagem: Embalagem </w:t>
            </w:r>
            <w:r>
              <w:rPr>
                <w:sz w:val="16"/>
                <w:szCs w:val="16"/>
              </w:rPr>
              <w:t>Individual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R$ 14,65</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R$ 29,30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13</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Fita Adesiva – Uso Cutâneo Tipo: Esparadrapo Impermeável, Material Dorso: À Base De Algodão E Fibra Sintética, Tipo De Adesivo: C/ Látex Natural, Largura Da Fita: Cerca De 100 Mm, Cor: C/ Cor, Apresentação: Rolo C/ Capa Protetora, </w:t>
            </w:r>
            <w:r>
              <w:rPr>
                <w:sz w:val="16"/>
                <w:szCs w:val="16"/>
              </w:rPr>
              <w:t>Esterilidade: Não Estéril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03</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R$ 8,13</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R$ 24,39</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14</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Monitor Portátil Operação: Digital, Tipo Amostra: Sangue Capilar, Tipo De Análise: Quantitativo De Glicose, Faixa De Operação: Até 600MG/DL, Tempo Resposta: Até 10S, Memória: 250 A 500 Testes, Componentes: Com Lancetas, Tiras, Acessórios: Lancetador, </w:t>
            </w:r>
            <w:r>
              <w:rPr>
                <w:sz w:val="16"/>
                <w:szCs w:val="16"/>
              </w:rPr>
              <w:t>Solução Controle</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R$ 64,50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R$ 129,00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15</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Abaixador De Língua Material: Madeira Lisa, </w:t>
            </w:r>
            <w:r>
              <w:rPr>
                <w:sz w:val="16"/>
                <w:szCs w:val="16"/>
              </w:rPr>
              <w:t xml:space="preserve">Polida, C/ Borda </w:t>
            </w:r>
            <w:r>
              <w:rPr>
                <w:sz w:val="16"/>
              </w:rPr>
              <w:t xml:space="preserve">Arredondada, Comprimento: Cerca De 14 Cm, Esterilidade: Não Estéril, Uso Único, Apresentação: Embalagem </w:t>
            </w:r>
            <w:r>
              <w:rPr>
                <w:sz w:val="16"/>
                <w:szCs w:val="16"/>
              </w:rPr>
              <w:t>Individual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10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R$ 5,08</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R$ 50,75</w:t>
            </w:r>
          </w:p>
        </w:tc>
      </w:tr>
      <w:tr>
        <w:trPr/>
        <w:tc>
          <w:tcPr>
            <w:tcW w:w="852" w:type="dxa"/>
            <w:tcBorders>
              <w:left w:val="single" w:sz="4" w:space="0" w:color="000000"/>
              <w:bottom w:val="single" w:sz="4" w:space="0" w:color="000000"/>
            </w:tcBorders>
            <w:vAlign w:val="center"/>
          </w:tcPr>
          <w:p>
            <w:pPr>
              <w:pStyle w:val="Normal"/>
              <w:widowControl w:val="false"/>
              <w:jc w:val="center"/>
              <w:rPr>
                <w:rFonts w:ascii="Arial" w:hAnsi="Arial"/>
                <w:b/>
                <w:b/>
                <w:bCs/>
                <w:sz w:val="16"/>
                <w:szCs w:val="16"/>
                <w:eastAsianLayout w:vert="true"/>
              </w:rPr>
            </w:pPr>
            <w:r>
              <w:rPr>
                <w:b/>
                <w:bCs/>
                <w:sz w:val="16"/>
                <w:szCs w:val="16"/>
                <w:eastAsianLayout w:vert="true"/>
              </w:rPr>
              <w:t>Item 16</w:t>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16</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Absorvente Higiênico Tipo: Normal Com Abas, Formato: Tradicional, Material: Polpa De Celulose Polimero Acrilico, Polietileno, Tipo Uso: Externo, Tamanho: Médio, Tipo Adesivo: Termoplástico Protegido Fita Papel Siliconizado, Componente Adicional: </w:t>
            </w:r>
            <w:r>
              <w:rPr>
                <w:sz w:val="16"/>
                <w:szCs w:val="16"/>
              </w:rPr>
              <w:t>Com Gel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PCT c/ 08</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40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R$ 2,31</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R$ 90,20</w:t>
            </w:r>
          </w:p>
        </w:tc>
      </w:tr>
      <w:tr>
        <w:trPr/>
        <w:tc>
          <w:tcPr>
            <w:tcW w:w="852" w:type="dxa"/>
            <w:vMerge w:val="restart"/>
            <w:tcBorders>
              <w:left w:val="single" w:sz="4" w:space="0" w:color="000000"/>
              <w:bottom w:val="single" w:sz="4" w:space="0" w:color="000000"/>
            </w:tcBorders>
            <w:vAlign w:val="center"/>
          </w:tcPr>
          <w:p>
            <w:pPr>
              <w:pStyle w:val="Normal"/>
              <w:widowControl w:val="false"/>
              <w:jc w:val="center"/>
              <w:rPr>
                <w:rFonts w:ascii="Arial" w:hAnsi="Arial"/>
                <w:b/>
                <w:b/>
                <w:bCs/>
                <w:sz w:val="16"/>
                <w:szCs w:val="16"/>
                <w:eastAsianLayout w:vert="true"/>
              </w:rPr>
            </w:pPr>
            <w:r>
              <w:rPr>
                <w:b/>
                <w:bCs/>
                <w:sz w:val="16"/>
                <w:szCs w:val="16"/>
                <w:eastAsianLayout w:vert="true"/>
              </w:rPr>
              <w:t xml:space="preserve">GRUPO </w:t>
            </w:r>
            <w:r>
              <w:rPr>
                <w:b/>
                <w:bCs/>
                <w:sz w:val="16"/>
                <w:szCs w:val="16"/>
                <w:eastAsianLayout w:vert="true"/>
              </w:rPr>
              <w:t>2</w:t>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17</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Salicilato De Metila Composição: Associada À Cânfora, Mento e Salicilato De Glicol, Concentração: 30 Mg + 38,5 Mg + 38,5 Mg + 19 MG/ML, Forma Farmacêutica: Aerossol </w:t>
            </w:r>
            <w:r>
              <w:rPr>
                <w:sz w:val="16"/>
                <w:szCs w:val="16"/>
              </w:rPr>
              <w:t>Tópico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10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R$ 21,90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R$ 218,95</w:t>
            </w:r>
          </w:p>
        </w:tc>
      </w:tr>
      <w:tr>
        <w:trPr/>
        <w:tc>
          <w:tcPr>
            <w:tcW w:w="852" w:type="dxa"/>
            <w:vMerge w:val="continue"/>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18</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Betametasona Composição: Dipropionato, Associada Ao Cetoconazol E Neomicina, Concentração: 0,5 Mg/G + 20 Mg/G + 1,5 MG/G, Forma </w:t>
            </w:r>
            <w:r>
              <w:rPr>
                <w:sz w:val="16"/>
                <w:szCs w:val="16"/>
              </w:rPr>
              <w:t>Farmaceutica: Pomada</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Bisnaga</w:t>
            </w:r>
          </w:p>
          <w:p>
            <w:pPr>
              <w:pStyle w:val="Normal"/>
              <w:widowControl w:val="false"/>
              <w:suppressAutoHyphens w:val="true"/>
              <w:spacing w:lineRule="auto" w:line="276" w:before="0" w:after="120"/>
              <w:jc w:val="center"/>
              <w:rPr>
                <w:rFonts w:ascii="Arial" w:hAnsi="Arial"/>
                <w:sz w:val="16"/>
                <w:szCs w:val="16"/>
              </w:rPr>
            </w:pPr>
            <w:r>
              <w:rPr>
                <w:sz w:val="16"/>
                <w:szCs w:val="16"/>
              </w:rPr>
              <w:t>30gr</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R$ 6,50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R$ 13,00</w:t>
            </w:r>
          </w:p>
        </w:tc>
      </w:tr>
      <w:tr>
        <w:trPr/>
        <w:tc>
          <w:tcPr>
            <w:tcW w:w="852" w:type="dxa"/>
            <w:vMerge w:val="continue"/>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19</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Sais Para Reidratação Oral Composição: Sódio, Potássio, Cloreto, Citrato E Glicose, Concentração: 45 Mmol /L + 40 Mmol/L + 70 Mmol/L + 7 Mmol/L + 125 MMOL/L, Forma Farmacêutica: Solução </w:t>
            </w:r>
            <w:r>
              <w:rPr>
                <w:sz w:val="16"/>
                <w:szCs w:val="16"/>
              </w:rPr>
              <w:t>Oral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Envelope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20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R$ 0,76</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R$ 15,20</w:t>
            </w:r>
          </w:p>
        </w:tc>
      </w:tr>
      <w:tr>
        <w:trPr/>
        <w:tc>
          <w:tcPr>
            <w:tcW w:w="852" w:type="dxa"/>
            <w:vMerge w:val="restart"/>
            <w:tcBorders>
              <w:left w:val="single" w:sz="4" w:space="0" w:color="000000"/>
              <w:bottom w:val="single" w:sz="4" w:space="0" w:color="000000"/>
            </w:tcBorders>
            <w:vAlign w:val="center"/>
          </w:tcPr>
          <w:p>
            <w:pPr>
              <w:pStyle w:val="Normal"/>
              <w:widowControl w:val="false"/>
              <w:jc w:val="center"/>
              <w:rPr>
                <w:rFonts w:ascii="Arial" w:hAnsi="Arial"/>
                <w:b/>
                <w:b/>
                <w:bCs/>
                <w:sz w:val="16"/>
                <w:szCs w:val="16"/>
                <w:eastAsianLayout w:vert="true"/>
              </w:rPr>
            </w:pPr>
            <w:r>
              <w:rPr>
                <w:b/>
                <w:bCs/>
                <w:sz w:val="16"/>
                <w:szCs w:val="16"/>
                <w:eastAsianLayout w:vert="true"/>
              </w:rPr>
              <w:t xml:space="preserve">GRUPO </w:t>
            </w:r>
            <w:r>
              <w:rPr>
                <w:b/>
                <w:bCs/>
                <w:sz w:val="16"/>
                <w:szCs w:val="16"/>
                <w:eastAsianLayout w:vert="true"/>
              </w:rPr>
              <w:t>3</w:t>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20</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Chaleira Elétrica, com acabamento inox, capacidade até 2 litros, sistema de desligamento </w:t>
            </w:r>
            <w:r>
              <w:rPr>
                <w:sz w:val="16"/>
                <w:szCs w:val="16"/>
              </w:rPr>
              <w:t>automático, jarra sem fio.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R$ 76,05</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R$ 76,05</w:t>
            </w:r>
          </w:p>
        </w:tc>
      </w:tr>
      <w:tr>
        <w:trPr/>
        <w:tc>
          <w:tcPr>
            <w:tcW w:w="852" w:type="dxa"/>
            <w:vMerge w:val="continue"/>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21</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Lixeira inox, 15 litros, com pedal e balde cesto lixo </w:t>
            </w:r>
            <w:r>
              <w:rPr>
                <w:sz w:val="16"/>
                <w:szCs w:val="16"/>
              </w:rPr>
              <w:t>removível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R$ 119,00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R$ 119,00</w:t>
            </w:r>
          </w:p>
        </w:tc>
      </w:tr>
      <w:tr>
        <w:trPr/>
        <w:tc>
          <w:tcPr>
            <w:tcW w:w="852" w:type="dxa"/>
            <w:vMerge w:val="continue"/>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22</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Caixa Maleta Para Kit Primeiros Socorros, Medicamentos. Média. Maleta confeccionada em Polipropileno PP Material Atóxico BPA Free (Livre de BPA) Tamanho Médio, Validade: Indeterminada</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R$ 241,90</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R$ 241,90</w:t>
            </w:r>
          </w:p>
        </w:tc>
      </w:tr>
      <w:tr>
        <w:trPr/>
        <w:tc>
          <w:tcPr>
            <w:tcW w:w="852"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r>
          </w:p>
        </w:tc>
        <w:tc>
          <w:tcPr>
            <w:tcW w:w="8044" w:type="dxa"/>
            <w:gridSpan w:val="5"/>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r>
          </w:p>
          <w:p>
            <w:pPr>
              <w:pStyle w:val="Normal"/>
              <w:widowControl w:val="false"/>
              <w:suppressAutoHyphens w:val="true"/>
              <w:spacing w:lineRule="auto" w:line="276" w:before="0" w:after="120"/>
              <w:jc w:val="center"/>
              <w:rPr>
                <w:rFonts w:ascii="Arial" w:hAnsi="Arial"/>
                <w:sz w:val="16"/>
                <w:szCs w:val="16"/>
              </w:rPr>
            </w:pPr>
            <w:r>
              <w:rPr>
                <w:rFonts w:cs="Arial"/>
                <w:b/>
                <w:bCs/>
                <w:color w:val="000000"/>
                <w:sz w:val="16"/>
                <w:szCs w:val="16"/>
              </w:rPr>
              <w:t>VALOR ESTIMADO TOTAL</w:t>
            </w:r>
          </w:p>
        </w:tc>
        <w:tc>
          <w:tcPr>
            <w:tcW w:w="107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b/>
                <w:b/>
                <w:bCs/>
                <w:sz w:val="16"/>
                <w:szCs w:val="16"/>
              </w:rPr>
            </w:pPr>
            <w:r>
              <w:rPr>
                <w:b/>
                <w:bCs/>
                <w:sz w:val="16"/>
                <w:szCs w:val="16"/>
              </w:rPr>
            </w:r>
          </w:p>
          <w:p>
            <w:pPr>
              <w:pStyle w:val="Normal"/>
              <w:widowControl w:val="false"/>
              <w:suppressAutoHyphens w:val="true"/>
              <w:spacing w:lineRule="auto" w:line="276" w:before="0" w:after="120"/>
              <w:jc w:val="center"/>
              <w:rPr>
                <w:rFonts w:ascii="Arial" w:hAnsi="Arial"/>
                <w:sz w:val="16"/>
                <w:szCs w:val="16"/>
              </w:rPr>
            </w:pPr>
            <w:r>
              <w:rPr>
                <w:rFonts w:cs="Arial"/>
                <w:b/>
                <w:bCs/>
                <w:color w:val="000000"/>
                <w:sz w:val="16"/>
                <w:szCs w:val="16"/>
              </w:rPr>
              <w:t>R$  1.822,02</w:t>
            </w:r>
          </w:p>
        </w:tc>
      </w:tr>
    </w:tbl>
    <w:p>
      <w:pPr>
        <w:pStyle w:val="PADRO"/>
        <w:keepNext w:val="false"/>
        <w:widowControl/>
        <w:numPr>
          <w:ilvl w:val="2"/>
          <w:numId w:val="1"/>
        </w:numPr>
        <w:shd w:val="clear" w:color="auto" w:fill="auto"/>
        <w:spacing w:before="120" w:after="120"/>
        <w:rPr>
          <w:rFonts w:ascii="Arial" w:hAnsi="Arial" w:cs="Arial"/>
        </w:rPr>
      </w:pPr>
      <w:r>
        <w:rPr>
          <w:rFonts w:cs="Arial" w:ascii="Arial" w:hAnsi="Arial"/>
          <w:szCs w:val="20"/>
        </w:rPr>
        <w:t xml:space="preserve"> </w:t>
      </w:r>
      <w:r>
        <w:rPr>
          <w:rFonts w:cs="Arial" w:ascii="Arial" w:hAnsi="Arial"/>
          <w:szCs w:val="20"/>
        </w:rPr>
        <w:t>Havendo mais de item ou lote faculta-se ao fornecedor a participação em quantos forem de seu interesse. Entretanto, optando-se por participar de um lote, deve o fornecedo</w:t>
      </w:r>
      <w:r>
        <w:rPr>
          <w:rFonts w:cs="Arial" w:ascii="Arial" w:hAnsi="Arial"/>
          <w:i w:val="false"/>
          <w:iCs w:val="false"/>
          <w:color w:val="auto"/>
          <w:szCs w:val="20"/>
        </w:rPr>
        <w:t>r enviar proposta para todos os itens que o compõem.</w:t>
      </w:r>
    </w:p>
    <w:p>
      <w:pPr>
        <w:pStyle w:val="PADRO"/>
        <w:keepNext w:val="false"/>
        <w:widowControl/>
        <w:numPr>
          <w:ilvl w:val="1"/>
          <w:numId w:val="1"/>
        </w:numPr>
        <w:shd w:val="clear" w:color="auto" w:fill="auto"/>
        <w:spacing w:before="120" w:after="120"/>
        <w:rPr>
          <w:i w:val="false"/>
          <w:i w:val="false"/>
          <w:iCs w:val="false"/>
          <w:color w:val="auto"/>
        </w:rPr>
      </w:pPr>
      <w:r>
        <w:rPr>
          <w:rFonts w:cs="Arial" w:ascii="Arial" w:hAnsi="Arial"/>
          <w:i w:val="false"/>
          <w:iCs w:val="false"/>
          <w:color w:val="auto"/>
          <w:szCs w:val="20"/>
        </w:rPr>
        <w:t>O critério de julgamento adotado será o menor preço, observadas as exigências contidas neste Aviso de Contratação Direta e seus Anexos quanto às especificações do objeto.</w:t>
      </w:r>
    </w:p>
    <w:p>
      <w:pPr>
        <w:pStyle w:val="PADRO"/>
        <w:widowControl/>
        <w:numPr>
          <w:ilvl w:val="0"/>
          <w:numId w:val="0"/>
        </w:numPr>
        <w:shd w:val="clear" w:color="auto" w:fill="auto"/>
        <w:spacing w:before="120" w:after="120"/>
        <w:ind w:left="792" w:hanging="0"/>
        <w:rPr>
          <w:rFonts w:ascii="Arial" w:hAnsi="Arial" w:cs="Arial"/>
          <w:szCs w:val="20"/>
        </w:rPr>
      </w:pPr>
      <w:r>
        <w:rPr>
          <w:rFonts w:cs="Arial" w:ascii="Arial" w:hAnsi="Arial"/>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PARTICIPAÇÃO NA DISPENSA ELETRÔNICA</w:t>
      </w:r>
    </w:p>
    <w:p>
      <w:pPr>
        <w:pStyle w:val="Normal"/>
        <w:numPr>
          <w:ilvl w:val="1"/>
          <w:numId w:val="1"/>
        </w:numPr>
        <w:snapToGrid w:val="false"/>
        <w:spacing w:lineRule="auto" w:line="276" w:before="120" w:after="120"/>
        <w:ind w:left="425" w:hanging="0"/>
        <w:jc w:val="both"/>
        <w:rPr>
          <w:rFonts w:cs="Arial"/>
          <w:szCs w:val="20"/>
        </w:rPr>
      </w:pPr>
      <w:r>
        <w:rPr>
          <w:rFonts w:cs="Arial"/>
          <w:szCs w:val="20"/>
        </w:rPr>
        <w:t xml:space="preserve">A participação na presente dispensa eletrônica se dará mediante </w:t>
      </w:r>
      <w:r>
        <w:rPr>
          <w:rFonts w:cs="Arial"/>
          <w:bCs/>
          <w:szCs w:val="20"/>
        </w:rPr>
        <w:t>Sistema de Dispensa Eletrônica</w:t>
      </w:r>
      <w:r>
        <w:rPr>
          <w:rFonts w:cs="Arial"/>
          <w:szCs w:val="20"/>
        </w:rPr>
        <w:t xml:space="preserve"> integrante do Sistema de Compras do Governo Federal – Comprasnet 4.0, disponível no </w:t>
      </w:r>
      <w:r>
        <w:rPr>
          <w:rFonts w:cs="Arial"/>
          <w:bCs/>
          <w:szCs w:val="20"/>
        </w:rPr>
        <w:t xml:space="preserve">endereço eletrônico </w:t>
      </w:r>
      <w:r>
        <w:rPr>
          <w:rFonts w:cs="Arial" w:ascii="ArialMT" w:hAnsi="ArialMT"/>
          <w:bCs/>
          <w:i w:val="false"/>
          <w:iCs w:val="false"/>
          <w:color w:val="000000" w:themeColor="text1"/>
          <w:sz w:val="20"/>
          <w:szCs w:val="20"/>
        </w:rPr>
        <w:t>https://www.gov.br/compras/pt-br.</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cs="Arial"/>
          <w:szCs w:val="20"/>
        </w:rPr>
      </w:pPr>
      <w:r>
        <w:rPr>
          <w:rFonts w:cs="Arial"/>
          <w:szCs w:val="20"/>
        </w:rPr>
        <w:t xml:space="preserve"> </w:t>
      </w: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Não poderão participar desta dispensa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se enquadrem nas seguintes vedações: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empresas controladoras, controladas ou coligadas, nos termos da </w:t>
      </w:r>
      <w:hyperlink r:id="rId2">
        <w:r>
          <w:rPr>
            <w:rStyle w:val="LinkdaInternet"/>
            <w:rFonts w:eastAsia="Calibri" w:cs="Arial"/>
            <w:szCs w:val="20"/>
          </w:rPr>
          <w:t>Lei nº 6.404, de 15 de dezembro de 1976</w:t>
        </w:r>
      </w:hyperlink>
      <w:r>
        <w:rPr>
          <w:rFonts w:cs="Arial"/>
          <w:color w:val="000000"/>
          <w:szCs w:val="20"/>
        </w:rPr>
        <w:t>, concorrendo entre si;</w:t>
      </w:r>
    </w:p>
    <w:p>
      <w:pPr>
        <w:pStyle w:val="Normal"/>
        <w:numPr>
          <w:ilvl w:val="3"/>
          <w:numId w:val="5"/>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i w:val="false"/>
          <w:i w:val="false"/>
          <w:iCs w:val="false"/>
          <w:color w:val="auto"/>
        </w:rPr>
      </w:pPr>
      <w:r>
        <w:rPr>
          <w:rFonts w:cs="Arial"/>
          <w:i w:val="false"/>
          <w:iCs w:val="false"/>
          <w:color w:val="auto"/>
          <w:szCs w:val="20"/>
        </w:rPr>
        <w:t xml:space="preserve"> </w:t>
      </w:r>
      <w:r>
        <w:rPr>
          <w:rFonts w:cs="Arial"/>
          <w:i w:val="false"/>
          <w:iCs w:val="false"/>
          <w:color w:val="auto"/>
          <w:szCs w:val="20"/>
        </w:rPr>
        <w:t>sociedades cooperativas.</w:t>
      </w:r>
    </w:p>
    <w:p>
      <w:pPr>
        <w:pStyle w:val="Normal"/>
        <w:numPr>
          <w:ilvl w:val="0"/>
          <w:numId w:val="0"/>
        </w:numPr>
        <w:spacing w:lineRule="auto" w:line="276" w:before="120" w:after="120"/>
        <w:ind w:left="1224" w:hanging="0"/>
        <w:jc w:val="both"/>
        <w:rPr>
          <w:rFonts w:cs="Arial"/>
          <w:szCs w:val="20"/>
        </w:rPr>
      </w:pPr>
      <w:r>
        <w:rPr>
          <w:rFonts w:cs="Arial"/>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cs="Arial"/>
          <w:szCs w:val="20"/>
        </w:rPr>
      </w:pPr>
      <w:r>
        <w:rPr>
          <w:rFonts w:cs="Arial"/>
          <w:szCs w:val="20"/>
        </w:rPr>
        <w:t>A apresentação das propostas implica obrigatoriedade do cumprimento das disposições nelas contidas, em conformidade com o que dis</w:t>
      </w:r>
      <w:r>
        <w:rPr>
          <w:rFonts w:cs="Arial"/>
          <w:i w:val="false"/>
          <w:iCs w:val="false"/>
          <w:color w:val="auto"/>
          <w:szCs w:val="20"/>
        </w:rPr>
        <w:t>põe o Termo de Referência,</w:t>
      </w:r>
      <w:r>
        <w:rPr>
          <w:rFonts w:cs="Arial"/>
          <w:szCs w:val="20"/>
        </w:rPr>
        <w:t xml:space="preserve">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szCs w:val="20"/>
        </w:rPr>
        <w:t xml:space="preserve">Uma vez enviada a proposta no sistema, os fornecedores </w:t>
      </w:r>
      <w:r>
        <w:rPr>
          <w:rFonts w:cs="Arial"/>
          <w:b/>
          <w:bCs/>
          <w:szCs w:val="20"/>
        </w:rPr>
        <w:t>NÃO</w:t>
      </w:r>
      <w:r>
        <w:rPr>
          <w:rFonts w:cs="Arial"/>
          <w:szCs w:val="20"/>
        </w:rPr>
        <w:t xml:space="preserve"> poderão retirá-la, substituí-la ou modificá-la</w:t>
      </w:r>
      <w:r>
        <w:rPr>
          <w:rFonts w:cs="Arial"/>
          <w:color w:val="000000"/>
          <w:szCs w:val="20"/>
        </w:rPr>
        <w:t>;</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szCs w:val="20"/>
        </w:rPr>
        <w:t xml:space="preserve">No cadastramento da proposta inicial, o fornecedor deverá, também, assinalar “sim” ou “não” em campo </w:t>
      </w:r>
      <w:r>
        <w:rPr>
          <w:rFonts w:cs="Arial"/>
          <w:szCs w:val="20"/>
        </w:rPr>
        <w:t>próprio</w:t>
      </w:r>
      <w:r>
        <w:rPr>
          <w:rFonts w:cs="Arial"/>
          <w:color w:val="000000"/>
          <w:szCs w:val="20"/>
        </w:rPr>
        <w:t xml:space="preserve"> do sistema eletrônico, às seguintes declarações:</w:t>
      </w:r>
      <w:r>
        <w:rPr>
          <w:rFonts w:eastAsia="Zurich BT" w:cs="Arial"/>
          <w:color w:val="000000"/>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szCs w:val="20"/>
        </w:rPr>
      </w:pPr>
      <w:r>
        <w:rPr>
          <w:rFonts w:cs="Arial"/>
          <w:bCs/>
          <w:vanish/>
          <w:color w:val="000000"/>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 xml:space="preserve">que </w:t>
      </w:r>
      <w:r>
        <w:rPr>
          <w:rFonts w:cs="Arial"/>
          <w:color w:val="000000"/>
          <w:szCs w:val="20"/>
        </w:rPr>
        <w:t>cumpre</w:t>
      </w:r>
      <w:r>
        <w:rPr>
          <w:rFonts w:cs="Arial"/>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 xml:space="preserve"> </w:t>
      </w:r>
      <w:r>
        <w:rPr>
          <w:rFonts w:cs="Arial"/>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Normal"/>
        <w:numPr>
          <w:ilvl w:val="0"/>
          <w:numId w:val="0"/>
        </w:numPr>
        <w:spacing w:lineRule="auto" w:line="276" w:before="120" w:after="120"/>
        <w:ind w:left="1224" w:hanging="0"/>
        <w:jc w:val="both"/>
        <w:rPr>
          <w:rFonts w:cs="Arial"/>
          <w:color w:val="000000" w:themeColor="text1"/>
          <w:szCs w:val="20"/>
        </w:rPr>
      </w:pPr>
      <w:r>
        <w:rPr>
          <w:rFonts w:cs="Arial"/>
          <w:color w:val="000000" w:themeColor="text1"/>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das 12:00h da data estabelecida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i w:val="false"/>
          <w:i w:val="false"/>
          <w:iCs w:val="false"/>
          <w:color w:val="auto"/>
        </w:rPr>
      </w:pPr>
      <w:r>
        <w:rPr>
          <w:rFonts w:cs="Arial"/>
          <w:i w:val="false"/>
          <w:iCs w:val="false"/>
          <w:color w:val="auto"/>
          <w:szCs w:val="20"/>
        </w:rPr>
        <w:t xml:space="preserve"> </w:t>
      </w:r>
      <w:r>
        <w:rPr>
          <w:rFonts w:cs="Arial"/>
          <w:i w:val="false"/>
          <w:iCs w:val="false"/>
          <w:color w:val="auto"/>
          <w:szCs w:val="20"/>
        </w:rPr>
        <w:t>o lance deverá ser ofertado pelo valor total do item.</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 xml:space="preserve"> </w:t>
      </w:r>
      <w:r>
        <w:rPr>
          <w:rFonts w:cs="Arial"/>
          <w:szCs w:val="20"/>
        </w:rPr>
        <w:t>o intervalo mínimo de diferença de valores ou percentuais entre os lances, que incidirá tanto em relação aos lances intermediários quanto em relação ao que cobrir a melhor oferta é de R$ 0,10 (dez centavos</w:t>
      </w:r>
      <w:r>
        <w:rPr>
          <w:rFonts w:cs="Arial"/>
          <w:i w:val="false"/>
          <w:iCs w:val="false"/>
          <w:color w:val="auto"/>
          <w:szCs w:val="20"/>
        </w:rPr>
        <w:t>).</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 xml:space="preserve"> </w:t>
      </w: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ListParagraph"/>
        <w:numPr>
          <w:ilvl w:val="0"/>
          <w:numId w:val="0"/>
        </w:numPr>
        <w:spacing w:lineRule="auto" w:line="276" w:before="120" w:after="120"/>
        <w:ind w:left="1224" w:hanging="0"/>
        <w:contextualSpacing/>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JULGAMENTO DAS PROPOSTAS DE PREÇO</w:t>
      </w:r>
    </w:p>
    <w:p>
      <w:pPr>
        <w:pStyle w:val="ListParagraph"/>
        <w:numPr>
          <w:ilvl w:val="1"/>
          <w:numId w:val="1"/>
        </w:numPr>
        <w:spacing w:lineRule="auto" w:line="276" w:before="120" w:after="120"/>
        <w:contextualSpacing/>
        <w:jc w:val="both"/>
        <w:rPr>
          <w:rFonts w:cs="Arial"/>
        </w:rPr>
      </w:pPr>
      <w:r>
        <w:rPr>
          <w:rFonts w:cs="Arial"/>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cs="Arial"/>
        </w:rPr>
      </w:pPr>
      <w:r>
        <w:rPr>
          <w:rFonts w:cs="Arial"/>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cs="Arial"/>
        </w:rPr>
      </w:pPr>
      <w:r>
        <w:rPr>
          <w:rFonts w:cs="Arial"/>
          <w:color w:val="000000"/>
          <w:szCs w:val="20"/>
        </w:rPr>
        <w:t xml:space="preserve"> </w:t>
      </w:r>
      <w:r>
        <w:rPr>
          <w:rFonts w:cs="Arial"/>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cs="Arial"/>
        </w:rPr>
      </w:pPr>
      <w:r>
        <w:rPr>
          <w:rFonts w:cs="Arial"/>
        </w:rPr>
        <w:t xml:space="preserve"> </w:t>
      </w:r>
      <w:r>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cs="Arial"/>
        </w:rPr>
      </w:pPr>
      <w:r>
        <w:rPr>
          <w:rFonts w:cs="Arial"/>
        </w:rPr>
        <w:t xml:space="preserve"> </w:t>
      </w:r>
      <w:r>
        <w:rPr>
          <w:rFonts w:cs="Arial"/>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cs="Arial"/>
        </w:rPr>
      </w:pPr>
      <w:r>
        <w:rPr>
          <w:rFonts w:cs="Arial"/>
        </w:rPr>
        <w:t>Estando o preço compatível, será solicitado o envio da proposta e, se necessário, de documentos complementares, adequada ao último lance.</w:t>
      </w:r>
    </w:p>
    <w:p>
      <w:pPr>
        <w:pStyle w:val="Normal"/>
        <w:numPr>
          <w:ilvl w:val="1"/>
          <w:numId w:val="1"/>
        </w:numPr>
        <w:spacing w:lineRule="auto" w:line="276" w:before="120" w:after="120"/>
        <w:jc w:val="both"/>
        <w:rPr>
          <w:rFonts w:cs="Arial"/>
          <w:color w:val="000000" w:themeColor="text1"/>
          <w:szCs w:val="20"/>
        </w:rPr>
      </w:pPr>
      <w:r>
        <w:rPr>
          <w:rFonts w:cs="Arial"/>
          <w:color w:val="000000" w:themeColor="text1"/>
          <w:szCs w:val="20"/>
        </w:rPr>
        <w:t xml:space="preserve">O prazo de validade </w:t>
      </w:r>
      <w:r>
        <w:rPr>
          <w:rFonts w:cs="Arial"/>
          <w:szCs w:val="20"/>
        </w:rPr>
        <w:t>da</w:t>
      </w:r>
      <w:r>
        <w:rPr>
          <w:rFonts w:cs="Arial"/>
          <w:color w:val="000000" w:themeColor="text1"/>
          <w:szCs w:val="20"/>
        </w:rPr>
        <w:t xml:space="preserve"> proposta não será inferior a 30 (trinta) dias</w:t>
      </w:r>
      <w:r>
        <w:rPr>
          <w:rFonts w:cs="Arial"/>
          <w:b/>
          <w:bCs/>
          <w:color w:val="000000" w:themeColor="text1"/>
          <w:szCs w:val="20"/>
        </w:rPr>
        <w:t>,</w:t>
      </w:r>
      <w:r>
        <w:rPr>
          <w:rFonts w:cs="Arial"/>
          <w:color w:val="000000" w:themeColor="text1"/>
          <w:szCs w:val="20"/>
        </w:rPr>
        <w:t xml:space="preserve"> a contar da data de sua apresentação.</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não tiverem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 xml:space="preserve"> </w:t>
      </w: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 xml:space="preserve"> </w:t>
      </w: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 xml:space="preserve"> </w:t>
      </w: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 </w:t>
      </w:r>
      <w:r>
        <w:rPr>
          <w:rFonts w:cs="Arial"/>
          <w:color w:val="000000" w:themeColor="text1"/>
          <w:szCs w:val="20"/>
          <w:lang w:eastAsia="en-US"/>
        </w:rPr>
        <w:t>considera-se erro no preenchimento da planilha passível de correção a indicação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 iniciará a fase de habilitação, observado o disposto neste Aviso de Contratação Direta.</w:t>
      </w:r>
    </w:p>
    <w:p>
      <w:pPr>
        <w:pStyle w:val="ListParagraph"/>
        <w:numPr>
          <w:ilvl w:val="0"/>
          <w:numId w:val="0"/>
        </w:numPr>
        <w:spacing w:lineRule="auto" w:line="276" w:before="120" w:after="120"/>
        <w:ind w:left="792" w:hanging="0"/>
        <w:contextualSpacing/>
        <w:jc w:val="both"/>
        <w:rPr>
          <w:rFonts w:cs="Arial"/>
          <w:color w:val="000000" w:themeColor="text1"/>
          <w:szCs w:val="20"/>
          <w:lang w:eastAsia="en-US"/>
        </w:rPr>
      </w:pPr>
      <w:r>
        <w:rPr>
          <w:rFonts w:cs="Arial"/>
          <w:color w:val="000000" w:themeColor="text1"/>
          <w:szCs w:val="20"/>
          <w:lang w:eastAsia="en-US"/>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HABILITAÇÃO</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constam do </w:t>
      </w:r>
      <w:r>
        <w:rPr>
          <w:rFonts w:cs="Arial"/>
          <w:b/>
          <w:szCs w:val="20"/>
          <w:lang w:eastAsia="ar-SA"/>
        </w:rPr>
        <w:t xml:space="preserve">ANEXO I – DOCUMENTAÇÃO EXIGIDA PARA HABILITAÇÃO </w:t>
      </w:r>
      <w:r>
        <w:rPr>
          <w:rFonts w:cs="Arial"/>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cs="Arial"/>
          <w:b/>
          <w:b/>
          <w:szCs w:val="20"/>
          <w:lang w:eastAsia="ar-SA"/>
        </w:rPr>
      </w:pPr>
      <w:r>
        <w:rPr>
          <w:rFonts w:cs="Arial"/>
          <w:szCs w:val="20"/>
          <w:lang w:eastAsia="ar-SA"/>
        </w:rPr>
        <w:t xml:space="preserve">Como </w:t>
      </w:r>
      <w:r>
        <w:rPr>
          <w:rFonts w:cs="Arial"/>
          <w:color w:val="000000"/>
          <w:szCs w:val="20"/>
        </w:rPr>
        <w:t>condição</w:t>
      </w:r>
      <w:r>
        <w:rPr>
          <w:rFonts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a) SICAF;</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b) Cadastro Nacional de Empresas Inidôneas e Suspensas - CEIS, mantido pela Controladoria-Geral da União (</w:t>
      </w:r>
      <w:hyperlink r:id="rId3">
        <w:r>
          <w:rPr>
            <w:rStyle w:val="LinkdaInternet"/>
            <w:rFonts w:eastAsia="Calibri" w:cs="Arial"/>
            <w:lang w:eastAsia="ar-SA"/>
          </w:rPr>
          <w:t>www.portaldatransparencia.gov.br/ceis</w:t>
        </w:r>
      </w:hyperlink>
      <w:r>
        <w:rPr>
          <w:rFonts w:cs="Arial"/>
          <w:szCs w:val="20"/>
          <w:lang w:eastAsia="ar-SA"/>
        </w:rPr>
        <w:t>);</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c) Cadastro Nacional de Condenações Cíveis por Atos de Improbidade Administrativa, mantido pelo Conselho Nacional de Justiça (</w:t>
      </w:r>
      <w:hyperlink r:id="rId4">
        <w:r>
          <w:rPr>
            <w:rStyle w:val="LinkdaInternet"/>
            <w:rFonts w:eastAsia="Calibri" w:cs="Arial"/>
            <w:lang w:eastAsia="ar-SA"/>
          </w:rPr>
          <w:t>www.cnj.jus.br/improbidade_adm/consultar_requerido.php</w:t>
        </w:r>
      </w:hyperlink>
      <w:r>
        <w:rPr>
          <w:rFonts w:cs="Arial"/>
          <w:szCs w:val="20"/>
          <w:lang w:eastAsia="ar-SA"/>
        </w:rPr>
        <w:t>).</w:t>
      </w:r>
    </w:p>
    <w:p>
      <w:pPr>
        <w:pStyle w:val="ListParagraph"/>
        <w:spacing w:lineRule="auto" w:line="276" w:before="120" w:after="120"/>
        <w:ind w:left="1134" w:hanging="0"/>
        <w:contextualSpacing/>
        <w:jc w:val="both"/>
        <w:rPr>
          <w:rFonts w:cs="Arial"/>
          <w:szCs w:val="20"/>
          <w:lang w:eastAsia="ar-SA"/>
        </w:rPr>
      </w:pPr>
      <w:r>
        <w:rPr>
          <w:rFonts w:cs="Arial"/>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cs="Arial"/>
          <w:b/>
          <w:b/>
          <w:szCs w:val="20"/>
        </w:rPr>
      </w:pPr>
      <w:r>
        <w:rPr>
          <w:rFonts w:cs="Arial"/>
          <w:szCs w:val="20"/>
          <w:lang w:eastAsia="ar-SA"/>
        </w:rPr>
        <w:t xml:space="preserve"> </w:t>
      </w:r>
      <w:r>
        <w:rPr>
          <w:rFonts w:cs="Arial"/>
          <w:szCs w:val="20"/>
          <w:lang w:eastAsia="ar-SA"/>
        </w:rPr>
        <w:t xml:space="preserve">para a consulta de </w:t>
      </w:r>
      <w:r>
        <w:rPr>
          <w:rFonts w:cs="Arial"/>
          <w:color w:val="000000" w:themeColor="text1"/>
          <w:szCs w:val="20"/>
        </w:rPr>
        <w:t>fornecedores</w:t>
      </w:r>
      <w:r>
        <w:rPr>
          <w:rFonts w:cs="Arial"/>
          <w:szCs w:val="20"/>
          <w:lang w:eastAsia="ar-SA"/>
        </w:rPr>
        <w:t xml:space="preserve"> pessoa jurídica poderá haver a substituição das consultas das alíneas “b”, “c” e “d” acima pela Consulta Consolidada de Pessoa Jurídica do TCU (https://certidoesapf.apps.tcu.gov.br/)</w:t>
      </w:r>
      <w:r>
        <w:rPr>
          <w:rFonts w:cs="Arial"/>
          <w:szCs w:val="24"/>
          <w:lang w:eastAsia="ar-SA"/>
        </w:rPr>
        <w:t>.</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 xml:space="preserve">a consulta aos </w:t>
      </w:r>
      <w:r>
        <w:rPr>
          <w:rFonts w:cs="Arial"/>
          <w:szCs w:val="20"/>
          <w:lang w:eastAsia="ar-SA"/>
        </w:rPr>
        <w:t>cadastros</w:t>
      </w:r>
      <w:r>
        <w:rPr>
          <w:rFonts w:cs="Arial"/>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cs="Arial"/>
          <w:szCs w:val="20"/>
        </w:rPr>
      </w:pPr>
      <w:r>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cs="Arial"/>
          <w:color w:val="000000" w:themeColor="text1"/>
          <w:szCs w:val="20"/>
        </w:rPr>
      </w:pPr>
      <w:r>
        <w:rPr>
          <w:rFonts w:cs="Arial"/>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cs="Arial"/>
          <w:szCs w:val="20"/>
        </w:rPr>
      </w:pPr>
      <w:r>
        <w:rPr>
          <w:rFonts w:cs="Arial"/>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cs="Arial"/>
          <w:szCs w:val="20"/>
        </w:rPr>
      </w:pPr>
      <w:r>
        <w:rPr>
          <w:rFonts w:cs="Arial"/>
          <w:color w:val="000000" w:themeColor="text1"/>
          <w:szCs w:val="20"/>
        </w:rPr>
        <w:t xml:space="preserve"> </w:t>
      </w:r>
      <w:r>
        <w:rPr>
          <w:rFonts w:cs="Arial"/>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cs="Arial"/>
          <w:szCs w:val="20"/>
        </w:rPr>
      </w:pPr>
      <w:r>
        <w:rPr>
          <w:rFonts w:cs="Arial"/>
          <w:color w:val="000000" w:themeColor="text1"/>
          <w:szCs w:val="20"/>
        </w:rPr>
        <w:t xml:space="preserve">Caso atendidas as condições de participação, </w:t>
      </w:r>
      <w:r>
        <w:rPr>
          <w:rFonts w:cs="Arial"/>
          <w:szCs w:val="20"/>
        </w:rPr>
        <w:t>a habilitação dos fornecedores será verificada por meio do SICAF, nos documentos por ele abrangidos</w:t>
      </w:r>
      <w:r>
        <w:rPr>
          <w:rFonts w:cs="Arial"/>
          <w:color w:val="000000" w:themeColor="text1"/>
          <w:szCs w:val="20"/>
        </w:rPr>
        <w:t>.</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 xml:space="preserve"> </w:t>
      </w: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cs="Arial"/>
          <w:color w:val="000000" w:themeColor="text1"/>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cs="Arial"/>
          <w:b/>
          <w:b/>
          <w:bCs/>
          <w:szCs w:val="20"/>
        </w:rPr>
      </w:pPr>
      <w:r>
        <w:rPr>
          <w:rFonts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cs="Arial"/>
          <w:bCs/>
          <w:szCs w:val="20"/>
        </w:rPr>
      </w:pPr>
      <w:r>
        <w:rPr>
          <w:rFonts w:cs="Arial"/>
          <w:bCs/>
          <w:szCs w:val="20"/>
        </w:rPr>
        <w:t xml:space="preserve">Havendo </w:t>
      </w:r>
      <w:r>
        <w:rPr>
          <w:rFonts w:cs="Arial"/>
          <w:iCs/>
          <w:lang w:eastAsia="en-US"/>
        </w:rPr>
        <w:t>necessidade</w:t>
      </w:r>
      <w:r>
        <w:rPr>
          <w:rFonts w:cs="Arial"/>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lang w:eastAsia="en-U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 </w:t>
      </w: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cs="Arial"/>
          <w:iCs/>
          <w:lang w:eastAsia="en-US"/>
        </w:rPr>
      </w:pPr>
      <w:r>
        <w:rPr>
          <w:rFonts w:cs="Arial"/>
          <w:iCs/>
          <w:lang w:eastAsia="en-US"/>
        </w:rPr>
        <w:t>Constatado o atendimento às exigências de habilitação, o fornecedor será habilitado.</w:t>
      </w:r>
    </w:p>
    <w:p>
      <w:pPr>
        <w:pStyle w:val="ListParagraph"/>
        <w:numPr>
          <w:ilvl w:val="0"/>
          <w:numId w:val="0"/>
        </w:numPr>
        <w:spacing w:lineRule="auto" w:line="276" w:before="120" w:after="120"/>
        <w:ind w:left="792" w:hanging="0"/>
        <w:contextualSpacing/>
        <w:jc w:val="both"/>
        <w:rPr>
          <w:rFonts w:cs="Arial"/>
          <w:iCs/>
          <w:lang w:eastAsia="en-US"/>
        </w:rPr>
      </w:pPr>
      <w:r>
        <w:rPr>
          <w:rFonts w:cs="Arial"/>
          <w:iCs/>
          <w:lang w:eastAsia="en-US"/>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adjudicatário terá o prazo de 05 (</w:t>
      </w:r>
      <w:r>
        <w:rPr>
          <w:rFonts w:eastAsia="Arial" w:cs="Arial"/>
          <w:color w:val="auto"/>
          <w:szCs w:val="20"/>
        </w:rPr>
        <w:t>cinco) dias úteis, contados a partir da data de sua convocação, para assinar o Termo de Contrato ou aceitar instrumento equivalente, conforme o caso (Nota de Empenho/Carta Contrato/Autorização), sob p</w:t>
      </w:r>
      <w:r>
        <w:rPr>
          <w:rFonts w:eastAsia="Arial" w:cs="Arial"/>
          <w:color w:val="000000"/>
          <w:szCs w:val="20"/>
        </w:rPr>
        <w:t xml:space="preserve">ena de decair do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 xml:space="preserve"> </w:t>
      </w:r>
      <w:r>
        <w:rPr>
          <w:rFonts w:eastAsia="Arial" w:cs="Arial"/>
          <w:color w:val="000000"/>
          <w:szCs w:val="20"/>
        </w:rPr>
        <w:t xml:space="preserve">o prazo previsto para assinatura do contrato ou aceitação da nota de empenho ou instrumento equivalente poderá ser prorrogado </w:t>
      </w:r>
      <w:r>
        <w:rPr>
          <w:rFonts w:cs="Times New Roman"/>
          <w:bCs/>
        </w:rPr>
        <w:t>1 (uma) vez</w:t>
      </w:r>
      <w:r>
        <w:rPr>
          <w:rFonts w:eastAsia="Arial" w:cs="Arial"/>
          <w:szCs w:val="20"/>
        </w:rPr>
        <w:t xml:space="preserve">, </w:t>
      </w:r>
      <w:r>
        <w:rPr>
          <w:rFonts w:eastAsia="Arial" w:cs="Arial"/>
          <w:color w:val="000000"/>
          <w:szCs w:val="20"/>
        </w:rPr>
        <w:t xml:space="preserve">por igual período, </w:t>
      </w:r>
      <w:r>
        <w:rPr>
          <w:rFonts w:eastAsia="Arial" w:cs="Arial"/>
          <w:i w:val="false"/>
          <w:iCs w:val="false"/>
          <w:color w:val="000000"/>
          <w:szCs w:val="20"/>
        </w:rPr>
        <w:t>por solicitação justificada do adjudicatário e aceita pela Administração.</w:t>
      </w:r>
    </w:p>
    <w:p>
      <w:pPr>
        <w:pStyle w:val="Normal"/>
        <w:numPr>
          <w:ilvl w:val="1"/>
          <w:numId w:val="1"/>
        </w:numPr>
        <w:spacing w:lineRule="auto" w:line="276" w:before="120" w:after="120"/>
        <w:ind w:left="425" w:hanging="0"/>
        <w:jc w:val="both"/>
        <w:rPr>
          <w:i w:val="false"/>
          <w:i w:val="false"/>
          <w:iCs w:val="false"/>
        </w:rPr>
      </w:pPr>
      <w:r>
        <w:rPr>
          <w:rFonts w:eastAsia="Arial" w:cs="Arial"/>
          <w:i w:val="false"/>
          <w:iCs w:val="false"/>
          <w:color w:val="auto"/>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i w:val="false"/>
          <w:i w:val="false"/>
          <w:iCs w:val="false"/>
        </w:rPr>
      </w:pPr>
      <w:r>
        <w:rPr>
          <w:rFonts w:eastAsia="Arial" w:cs="Arial"/>
          <w:i w:val="false"/>
          <w:iCs w:val="false"/>
          <w:color w:val="auto"/>
          <w:szCs w:val="20"/>
        </w:rPr>
        <w:t xml:space="preserve"> </w:t>
      </w:r>
      <w:r>
        <w:rPr>
          <w:rFonts w:eastAsia="Arial" w:cs="Arial"/>
          <w:i w:val="false"/>
          <w:iCs w:val="false"/>
          <w:color w:val="auto"/>
          <w:szCs w:val="20"/>
        </w:rPr>
        <w:t>a contratada reconhece que as hipóteses de rescisão são aquelas previstas nos artigos 137 e 138 da Lei nº 14.133/21 e reconhece os direitos da Administração previstos nos artigos 137 a 139 da mesma Lei.</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O prazo de vigência da contratação é de 01 (um) ano</w:t>
      </w:r>
      <w:r>
        <w:rPr>
          <w:rFonts w:eastAsia="Arial" w:cs="Arial"/>
          <w:color w:val="FF0000"/>
          <w:szCs w:val="20"/>
        </w:rPr>
        <w:t xml:space="preserve"> </w:t>
      </w:r>
      <w:r>
        <w:rPr>
          <w:rFonts w:eastAsia="Arial" w:cs="Arial"/>
          <w:color w:val="000000"/>
          <w:szCs w:val="20"/>
        </w:rPr>
        <w:t xml:space="preserve">prorrogável conforme previsão nos anexos a este Aviso de Contratação Direta.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numPr>
          <w:ilvl w:val="0"/>
          <w:numId w:val="0"/>
        </w:numPr>
        <w:spacing w:lineRule="auto" w:line="276" w:before="120" w:after="120"/>
        <w:ind w:left="425" w:hanging="0"/>
        <w:jc w:val="both"/>
        <w:rPr>
          <w:rFonts w:eastAsia="Arial" w:cs="Arial"/>
          <w:color w:val="000000"/>
          <w:szCs w:val="20"/>
        </w:rPr>
      </w:pPr>
      <w:r>
        <w:rPr>
          <w:rFonts w:eastAsia="Arial" w:cs="Arial"/>
          <w:color w:val="000000"/>
          <w:szCs w:val="20"/>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SANÇÕES</w:t>
      </w:r>
    </w:p>
    <w:p>
      <w:pPr>
        <w:pStyle w:val="Normal"/>
        <w:numPr>
          <w:ilvl w:val="1"/>
          <w:numId w:val="1"/>
        </w:numPr>
        <w:spacing w:lineRule="auto" w:line="276" w:before="120" w:after="120"/>
        <w:ind w:left="425" w:hanging="0"/>
        <w:jc w:val="both"/>
        <w:rPr>
          <w:rFonts w:cs="Arial"/>
          <w:b/>
          <w:b/>
        </w:rPr>
      </w:pPr>
      <w:r>
        <w:rPr>
          <w:rFonts w:cs="Arial"/>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parcial do contrato</w:t>
      </w:r>
      <w:r>
        <w:rPr>
          <w:rFonts w:cs="Arial"/>
        </w:rPr>
        <w:t>;</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 xml:space="preserve"> </w:t>
      </w: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praticar ato lesivo previsto no </w:t>
      </w:r>
      <w:r>
        <w:fldChar w:fldCharType="begin"/>
      </w:r>
      <w:r>
        <w:rPr>
          <w:color w:val="000000"/>
        </w:rPr>
        <w:instrText xml:space="preserve"> HYPERLINK "http://www.planalto.gov.br/ccivil_03/_Ato2011-2014/2013/Lei/L12846.htm" \l "art5"</w:instrText>
      </w:r>
      <w:r>
        <w:rPr>
          <w:color w:val="000000"/>
        </w:rPr>
        <w:fldChar w:fldCharType="separate"/>
      </w:r>
      <w:r>
        <w:rPr>
          <w:color w:val="000000"/>
        </w:rPr>
        <w:t>art. 5º da Lei nº 12.846, de 1º de agosto de 2013.</w:t>
      </w:r>
      <w:r>
        <w:rPr>
          <w:color w:val="000000"/>
        </w:rPr>
        <w:fldChar w:fldCharType="end"/>
      </w:r>
    </w:p>
    <w:p>
      <w:pPr>
        <w:pStyle w:val="Normal"/>
        <w:numPr>
          <w:ilvl w:val="1"/>
          <w:numId w:val="1"/>
        </w:numPr>
        <w:spacing w:lineRule="auto" w:line="276" w:before="120" w:after="120"/>
        <w:ind w:left="425" w:hanging="0"/>
        <w:jc w:val="both"/>
        <w:rPr>
          <w:rFonts w:cs="Arial"/>
          <w:b/>
          <w:b/>
        </w:rPr>
      </w:pPr>
      <w:r>
        <w:rPr>
          <w:rFonts w:cs="Arial"/>
        </w:rPr>
        <w:t>O fornecedor que cometer qualquer das infrações discriminadas nos subitens anteriores ficará sujeito, sem prejuízo da responsabilidade civil e criminal, às seguintes sanções:</w:t>
      </w:r>
    </w:p>
    <w:p>
      <w:pPr>
        <w:pStyle w:val="Normal"/>
        <w:numPr>
          <w:ilvl w:val="2"/>
          <w:numId w:val="6"/>
        </w:numPr>
        <w:spacing w:lineRule="auto" w:line="276" w:before="120" w:after="120"/>
        <w:jc w:val="both"/>
        <w:rPr>
          <w:rFonts w:cs="Arial"/>
        </w:rPr>
      </w:pPr>
      <w:r>
        <w:rPr>
          <w:rFonts w:cs="Arial"/>
        </w:rPr>
        <w:t>Advertência pela falta do subitem 8.1.1 deste Aviso de Contratação Direta,</w:t>
      </w:r>
      <w:r>
        <w:rPr/>
        <w:t xml:space="preserve"> </w:t>
      </w:r>
      <w:r>
        <w:rPr>
          <w:rFonts w:cs="Arial"/>
        </w:rPr>
        <w:t>quando não se justificar a imposição de penalidade mais grave;</w:t>
      </w:r>
    </w:p>
    <w:p>
      <w:pPr>
        <w:pStyle w:val="Normal"/>
        <w:numPr>
          <w:ilvl w:val="2"/>
          <w:numId w:val="6"/>
        </w:numPr>
        <w:spacing w:lineRule="auto" w:line="276" w:before="120" w:after="120"/>
        <w:jc w:val="both"/>
        <w:rPr>
          <w:rFonts w:cs="Arial"/>
        </w:rPr>
      </w:pPr>
      <w:r>
        <w:rPr>
          <w:rFonts w:cs="Arial"/>
        </w:rPr>
        <w:t xml:space="preserve">Multa de 10% </w:t>
      </w:r>
      <w:r>
        <w:rPr>
          <w:rFonts w:cs="Arial"/>
          <w:color w:val="auto"/>
        </w:rPr>
        <w:t xml:space="preserve">(dez por cento) </w:t>
      </w:r>
      <w:r>
        <w:rPr>
          <w:rFonts w:cs="Arial"/>
        </w:rPr>
        <w:t>sobre o valor estimado do(s) item(s) prejudicado(s) pela conduta do fornecedor, por qualquer das infrações dos subitens 8.1.1 a 8.1.12;</w:t>
      </w:r>
    </w:p>
    <w:p>
      <w:pPr>
        <w:pStyle w:val="Normal"/>
        <w:numPr>
          <w:ilvl w:val="2"/>
          <w:numId w:val="6"/>
        </w:numPr>
        <w:spacing w:lineRule="auto" w:line="276" w:before="120" w:after="120"/>
        <w:jc w:val="both"/>
        <w:rPr>
          <w:rFonts w:cs="Arial"/>
        </w:rPr>
      </w:pPr>
      <w:r>
        <w:rPr>
          <w:rFonts w:cs="Arial"/>
          <w:color w:val="000000"/>
          <w:szCs w:val="20"/>
        </w:rPr>
        <w:t>Impedimento de licitar e contratar</w:t>
      </w:r>
      <w:r>
        <w:rPr>
          <w:rFonts w:cs="Arial"/>
        </w:rPr>
        <w:t xml:space="preserve"> </w:t>
      </w:r>
      <w:r>
        <w:rPr>
          <w:rFonts w:cs="Arial"/>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rPr>
        <w:t>;</w:t>
      </w:r>
    </w:p>
    <w:p>
      <w:pPr>
        <w:pStyle w:val="Normal"/>
        <w:numPr>
          <w:ilvl w:val="2"/>
          <w:numId w:val="6"/>
        </w:numPr>
        <w:spacing w:lineRule="auto" w:line="276" w:before="120" w:after="12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rPr>
        <w:t>;</w:t>
      </w:r>
    </w:p>
    <w:p>
      <w:pPr>
        <w:pStyle w:val="Normal"/>
        <w:numPr>
          <w:ilvl w:val="1"/>
          <w:numId w:val="1"/>
        </w:numPr>
        <w:spacing w:lineRule="auto" w:line="276" w:before="120" w:after="120"/>
        <w:jc w:val="both"/>
        <w:rPr>
          <w:rFonts w:cs="Arial"/>
          <w:bCs/>
        </w:rPr>
      </w:pPr>
      <w:r>
        <w:rPr>
          <w:rFonts w:cs="Arial"/>
          <w:bCs/>
        </w:rPr>
        <w:t>Na aplicação das sanções serão considerados:</w:t>
      </w:r>
    </w:p>
    <w:p>
      <w:pPr>
        <w:pStyle w:val="Normal"/>
        <w:numPr>
          <w:ilvl w:val="2"/>
          <w:numId w:val="1"/>
        </w:numPr>
        <w:spacing w:lineRule="auto" w:line="276" w:before="120" w:after="120"/>
        <w:jc w:val="both"/>
        <w:rPr>
          <w:rFonts w:cs="Arial"/>
          <w:bCs/>
        </w:rPr>
      </w:pPr>
      <w:r>
        <w:rPr>
          <w:rFonts w:cs="Arial"/>
          <w:bCs/>
        </w:rPr>
        <w:t xml:space="preserve"> </w:t>
      </w:r>
      <w:r>
        <w:rPr>
          <w:rFonts w:cs="Arial"/>
          <w:bCs/>
        </w:rPr>
        <w:t>a natureza e a gravidade da infração cometida;</w:t>
      </w:r>
    </w:p>
    <w:p>
      <w:pPr>
        <w:pStyle w:val="Normal"/>
        <w:numPr>
          <w:ilvl w:val="2"/>
          <w:numId w:val="1"/>
        </w:numPr>
        <w:spacing w:lineRule="auto" w:line="276" w:before="120" w:after="120"/>
        <w:jc w:val="both"/>
        <w:rPr>
          <w:rFonts w:cs="Arial"/>
          <w:bCs/>
        </w:rPr>
      </w:pPr>
      <w:r>
        <w:rPr>
          <w:rFonts w:cs="Arial"/>
          <w:bCs/>
        </w:rPr>
        <w:t xml:space="preserve"> </w:t>
      </w:r>
      <w:r>
        <w:rPr>
          <w:rFonts w:cs="Arial"/>
          <w:bCs/>
        </w:rPr>
        <w:t>as peculiaridades do caso concreto;</w:t>
      </w:r>
    </w:p>
    <w:p>
      <w:pPr>
        <w:pStyle w:val="Normal"/>
        <w:numPr>
          <w:ilvl w:val="2"/>
          <w:numId w:val="1"/>
        </w:numPr>
        <w:spacing w:lineRule="auto" w:line="276" w:before="120" w:after="120"/>
        <w:jc w:val="both"/>
        <w:rPr>
          <w:rFonts w:cs="Arial"/>
          <w:bCs/>
        </w:rPr>
      </w:pPr>
      <w:r>
        <w:rPr>
          <w:rFonts w:cs="Arial"/>
          <w:bCs/>
        </w:rPr>
        <w:t xml:space="preserve"> </w:t>
      </w:r>
      <w:r>
        <w:rPr>
          <w:rFonts w:cs="Arial"/>
          <w:bCs/>
        </w:rPr>
        <w:t>as circunstâncias agravantes ou atenuantes;</w:t>
      </w:r>
    </w:p>
    <w:p>
      <w:pPr>
        <w:pStyle w:val="Normal"/>
        <w:numPr>
          <w:ilvl w:val="2"/>
          <w:numId w:val="1"/>
        </w:numPr>
        <w:spacing w:lineRule="auto" w:line="276" w:before="120" w:after="120"/>
        <w:jc w:val="both"/>
        <w:rPr>
          <w:rFonts w:cs="Arial"/>
          <w:bCs/>
        </w:rPr>
      </w:pPr>
      <w:r>
        <w:rPr>
          <w:rFonts w:cs="Arial"/>
          <w:bCs/>
        </w:rPr>
        <w:t xml:space="preserve"> </w:t>
      </w:r>
      <w:r>
        <w:rPr>
          <w:rFonts w:cs="Arial"/>
          <w:bCs/>
        </w:rPr>
        <w:t>os danos que dela provierem para a Administração Pública;</w:t>
      </w:r>
    </w:p>
    <w:p>
      <w:pPr>
        <w:pStyle w:val="Normal"/>
        <w:numPr>
          <w:ilvl w:val="2"/>
          <w:numId w:val="1"/>
        </w:numPr>
        <w:spacing w:lineRule="auto" w:line="276" w:before="120" w:after="120"/>
        <w:jc w:val="both"/>
        <w:rPr>
          <w:rFonts w:cs="Arial"/>
          <w:bCs/>
        </w:rPr>
      </w:pPr>
      <w:r>
        <w:rPr>
          <w:rFonts w:cs="Arial"/>
          <w:bCs/>
        </w:rPr>
        <w:t xml:space="preserve"> </w:t>
      </w: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cs="Arial"/>
        </w:rPr>
      </w:pPr>
      <w:bookmarkStart w:id="1" w:name="art156§6"/>
      <w:bookmarkStart w:id="2" w:name="art156§7"/>
      <w:bookmarkStart w:id="3" w:name="art156§8"/>
      <w:bookmarkEnd w:id="1"/>
      <w:bookmarkEnd w:id="2"/>
      <w:bookmarkEnd w:id="3"/>
      <w:r>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cs="Arial"/>
        </w:rPr>
      </w:pPr>
      <w:bookmarkStart w:id="4" w:name="art156§9"/>
      <w:bookmarkEnd w:id="4"/>
      <w:r>
        <w:rPr>
          <w:rFonts w:cs="Arial"/>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cs="Arial"/>
        </w:rPr>
      </w:pPr>
      <w:r>
        <w:rPr>
          <w:rFonts w:cs="Arial"/>
        </w:rPr>
        <w:t>A penalidade de multa pode ser aplicada cumulativamente com as demais sanções.</w:t>
      </w:r>
    </w:p>
    <w:p>
      <w:pPr>
        <w:pStyle w:val="Normal"/>
        <w:numPr>
          <w:ilvl w:val="1"/>
          <w:numId w:val="1"/>
        </w:numPr>
        <w:spacing w:lineRule="auto" w:line="276" w:before="120" w:after="120"/>
        <w:ind w:left="425" w:hanging="0"/>
        <w:jc w:val="both"/>
        <w:rPr>
          <w:rFonts w:cs="Arial"/>
        </w:rPr>
      </w:pPr>
      <w:r>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cs="Arial"/>
        </w:rPr>
      </w:pPr>
      <w:r>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cs="Arial"/>
        </w:rPr>
      </w:pPr>
      <w:r>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cs="Arial"/>
        </w:rPr>
      </w:pPr>
      <w:r>
        <w:rPr>
          <w:rFonts w:cs="Arial"/>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PADRO"/>
        <w:keepNext w:val="false"/>
        <w:widowControl/>
        <w:numPr>
          <w:ilvl w:val="0"/>
          <w:numId w:val="1"/>
        </w:numPr>
        <w:shd w:val="clear" w:color="auto" w:fill="auto"/>
        <w:spacing w:before="120" w:after="120"/>
        <w:rPr>
          <w:rFonts w:ascii="Arial" w:hAnsi="Arial" w:cs="Arial"/>
          <w:b/>
          <w:b/>
        </w:rPr>
      </w:pPr>
      <w:r>
        <w:rPr>
          <w:rFonts w:cs="Arial" w:ascii="Arial" w:hAnsi="Arial"/>
          <w:b/>
        </w:rPr>
        <w:t>DAS DISPOSIÇÕES GERAIS</w:t>
      </w:r>
    </w:p>
    <w:p>
      <w:pPr>
        <w:pStyle w:val="Normal"/>
        <w:numPr>
          <w:ilvl w:val="1"/>
          <w:numId w:val="1"/>
        </w:numPr>
        <w:snapToGrid w:val="false"/>
        <w:spacing w:lineRule="auto" w:line="276" w:before="120" w:after="120"/>
        <w:ind w:left="425" w:hanging="0"/>
        <w:jc w:val="both"/>
        <w:rPr>
          <w:rFonts w:cs="Arial"/>
          <w:szCs w:val="20"/>
        </w:rPr>
      </w:pPr>
      <w:r>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 xml:space="preserve"> </w:t>
      </w: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cs="Arial"/>
          <w:color w:val="000000"/>
          <w:szCs w:val="20"/>
        </w:rPr>
      </w:pPr>
      <w:r>
        <w:rPr>
          <w:rFonts w:cs="Arial"/>
          <w:color w:val="000000"/>
          <w:szCs w:val="20"/>
        </w:rPr>
        <w:t>ANEXO I – Documentação exigida para Habilitação</w:t>
      </w:r>
    </w:p>
    <w:p>
      <w:pPr>
        <w:pStyle w:val="Normal"/>
        <w:numPr>
          <w:ilvl w:val="2"/>
          <w:numId w:val="1"/>
        </w:numPr>
        <w:spacing w:lineRule="auto" w:line="276" w:before="120" w:after="120"/>
        <w:jc w:val="both"/>
        <w:rPr>
          <w:rFonts w:cs="Arial"/>
          <w:color w:val="000000"/>
          <w:szCs w:val="20"/>
        </w:rPr>
      </w:pPr>
      <w:r>
        <w:rPr>
          <w:rFonts w:cs="Arial"/>
          <w:color w:val="000000"/>
          <w:szCs w:val="20"/>
        </w:rPr>
        <w:t>ANEXO II – Modelo de Proposta;</w:t>
      </w:r>
    </w:p>
    <w:p>
      <w:pPr>
        <w:pStyle w:val="Normal"/>
        <w:numPr>
          <w:ilvl w:val="2"/>
          <w:numId w:val="1"/>
        </w:numPr>
        <w:spacing w:lineRule="auto" w:line="276" w:before="120" w:after="120"/>
        <w:jc w:val="both"/>
        <w:rPr>
          <w:rFonts w:cs="Arial"/>
          <w:color w:val="000000"/>
          <w:szCs w:val="20"/>
        </w:rPr>
      </w:pPr>
      <w:r>
        <w:rPr>
          <w:rFonts w:cs="Arial"/>
          <w:color w:val="000000"/>
          <w:szCs w:val="20"/>
        </w:rPr>
        <w:t>ANEXO III – Termo de Referência;</w:t>
      </w:r>
    </w:p>
    <w:p>
      <w:pPr>
        <w:pStyle w:val="Normal"/>
        <w:numPr>
          <w:ilvl w:val="0"/>
          <w:numId w:val="0"/>
        </w:numPr>
        <w:spacing w:lineRule="auto" w:line="276" w:before="120" w:after="120"/>
        <w:ind w:left="1224" w:hanging="0"/>
        <w:jc w:val="both"/>
        <w:rPr>
          <w:rFonts w:cs="Arial"/>
          <w:color w:val="000000"/>
          <w:szCs w:val="20"/>
        </w:rPr>
      </w:pPr>
      <w:r>
        <w:rPr>
          <w:rFonts w:cs="Arial"/>
          <w:color w:val="000000"/>
          <w:szCs w:val="20"/>
        </w:rPr>
      </w:r>
    </w:p>
    <w:p>
      <w:pPr>
        <w:pStyle w:val="Normal"/>
        <w:spacing w:lineRule="auto" w:line="276" w:before="0" w:after="120"/>
        <w:ind w:left="360" w:right="-15" w:hanging="0"/>
        <w:jc w:val="right"/>
        <w:rPr>
          <w:rFonts w:cs="Arial"/>
          <w:color w:val="000000"/>
          <w:szCs w:val="20"/>
        </w:rPr>
      </w:pPr>
      <w:r>
        <w:rPr>
          <w:rFonts w:cs="Arial"/>
          <w:color w:val="000000"/>
          <w:szCs w:val="20"/>
        </w:rPr>
        <w:t>Santa Maria de Jetibá/ES, 10 de abril de 2026.</w:t>
      </w:r>
    </w:p>
    <w:p>
      <w:pPr>
        <w:pStyle w:val="Normal"/>
        <w:spacing w:lineRule="auto" w:line="276"/>
        <w:jc w:val="center"/>
        <w:rPr>
          <w:rFonts w:cs="Arial"/>
          <w:szCs w:val="20"/>
        </w:rPr>
      </w:pPr>
      <w:r>
        <w:rPr>
          <w:rFonts w:cs="Arial"/>
          <w:b/>
          <w:bCs/>
          <w:iCs/>
          <w:color w:val="000000"/>
          <w:szCs w:val="20"/>
        </w:rPr>
        <w:t>Assinatura da autoridade competente</w:t>
      </w:r>
    </w:p>
    <w:p>
      <w:pPr>
        <w:pStyle w:val="Normal"/>
        <w:rPr>
          <w:rFonts w:cs="Arial"/>
          <w:lang w:eastAsia="en-US"/>
        </w:rPr>
      </w:pPr>
      <w:r>
        <w:rPr>
          <w:rFonts w:cs="Arial"/>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r>
    </w:p>
    <w:p>
      <w:pPr>
        <w:pStyle w:val="Normal"/>
        <w:jc w:val="center"/>
        <w:rPr>
          <w:rFonts w:cs="Arial"/>
          <w:b/>
          <w:b/>
          <w:bCs/>
          <w:lang w:eastAsia="en-US"/>
        </w:rPr>
      </w:pPr>
      <w:r>
        <w:rPr>
          <w:rFonts w:cs="Arial"/>
          <w:b/>
          <w:bCs/>
          <w:lang w:eastAsia="en-US"/>
        </w:rPr>
        <w:t>ANEXO I – DOCUMENTAÇÃO EXIGIDA PARA HABILITAÇÃO</w:t>
      </w:r>
    </w:p>
    <w:p>
      <w:pPr>
        <w:pStyle w:val="Normal"/>
        <w:rPr>
          <w:rFonts w:cs="Arial"/>
          <w:lang w:eastAsia="en-US"/>
        </w:rPr>
      </w:pPr>
      <w:r>
        <w:rPr>
          <w:rFonts w:cs="Arial"/>
          <w:lang w:eastAsia="en-US"/>
        </w:rPr>
      </w:r>
    </w:p>
    <w:p>
      <w:pPr>
        <w:pStyle w:val="PADRO"/>
        <w:keepNext w:val="false"/>
        <w:widowControl/>
        <w:numPr>
          <w:ilvl w:val="0"/>
          <w:numId w:val="4"/>
        </w:numPr>
        <w:shd w:val="clear" w:fill="FFFFFF"/>
        <w:spacing w:before="120" w:after="120"/>
        <w:rPr>
          <w:rFonts w:ascii="Arial" w:hAnsi="Arial" w:cs="Arial"/>
          <w:szCs w:val="20"/>
        </w:rPr>
      </w:pPr>
      <w:r>
        <w:rPr>
          <w:rFonts w:cs="Arial" w:ascii="Arial" w:hAnsi="Arial"/>
          <w:b/>
          <w:bCs/>
          <w:color w:val="000000"/>
          <w:szCs w:val="20"/>
        </w:rPr>
        <w:t xml:space="preserve"> </w:t>
      </w:r>
      <w:r>
        <w:rPr>
          <w:rFonts w:cs="Arial" w:ascii="Arial" w:hAnsi="Arial"/>
          <w:b/>
          <w:bCs/>
          <w:color w:val="000000"/>
          <w:szCs w:val="20"/>
        </w:rPr>
        <w:t>Regularidade fiscal, social e trabalhista:</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inscrição no Cadastro Nacional de Pessoas Jurídicas ou no Cadastro de Pessoas Físicas, conforme o caso;</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4"/>
        </w:numPr>
        <w:tabs>
          <w:tab w:val="clear" w:pos="708"/>
          <w:tab w:val="left" w:pos="1440" w:leader="none"/>
        </w:tabs>
        <w:snapToGrid w:val="false"/>
        <w:spacing w:lineRule="auto" w:line="276" w:before="120" w:after="120"/>
        <w:jc w:val="both"/>
        <w:rPr>
          <w:rFonts w:cs="Arial"/>
          <w:color w:val="000000"/>
          <w:szCs w:val="20"/>
        </w:rPr>
      </w:pPr>
      <w:r>
        <w:rPr>
          <w:rFonts w:cs="Arial"/>
          <w:color w:val="000000"/>
          <w:szCs w:val="20"/>
          <w:lang w:eastAsia="en-US"/>
        </w:rPr>
        <w:t>prova de regularidade com o Fundo de Garantia do Tempo de Serviço (FGTS);</w:t>
      </w:r>
    </w:p>
    <w:p>
      <w:pPr>
        <w:pStyle w:val="Normal"/>
        <w:numPr>
          <w:ilvl w:val="1"/>
          <w:numId w:val="4"/>
        </w:numPr>
        <w:tabs>
          <w:tab w:val="clear" w:pos="708"/>
          <w:tab w:val="left" w:pos="1440" w:leader="none"/>
        </w:tabs>
        <w:snapToGrid w:val="false"/>
        <w:spacing w:lineRule="auto" w:line="276" w:before="120" w:after="120"/>
        <w:jc w:val="both"/>
        <w:rPr>
          <w:rFonts w:cs="Arial"/>
          <w:szCs w:val="20"/>
        </w:rPr>
      </w:pPr>
      <w:r>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4"/>
        </w:numPr>
        <w:tabs>
          <w:tab w:val="clear" w:pos="708"/>
          <w:tab w:val="left" w:pos="1440" w:leader="none"/>
        </w:tabs>
        <w:snapToGrid w:val="false"/>
        <w:spacing w:lineRule="auto" w:line="276" w:before="120" w:after="120"/>
        <w:jc w:val="both"/>
        <w:rPr>
          <w:rFonts w:cs="Arial"/>
          <w:bCs/>
          <w:szCs w:val="20"/>
        </w:rPr>
      </w:pPr>
      <w:r>
        <w:rPr>
          <w:rFonts w:cs="Arial"/>
          <w:bCs/>
          <w:szCs w:val="20"/>
        </w:rPr>
        <w:t xml:space="preserve">prova de </w:t>
      </w:r>
      <w:r>
        <w:rPr>
          <w:rFonts w:cs="Arial"/>
          <w:color w:val="000000"/>
          <w:szCs w:val="20"/>
        </w:rPr>
        <w:t>inscrição no cadastro de contribuintes</w:t>
      </w:r>
      <w:r>
        <w:rPr>
          <w:rFonts w:cs="Arial"/>
          <w:i w:val="false"/>
          <w:iCs w:val="false"/>
          <w:color w:val="auto"/>
          <w:szCs w:val="20"/>
        </w:rPr>
        <w:t xml:space="preserve"> estadual e/ou municipal, </w:t>
      </w:r>
      <w:r>
        <w:rPr>
          <w:rFonts w:cs="Arial"/>
          <w:color w:val="000000"/>
          <w:szCs w:val="20"/>
        </w:rPr>
        <w:t>relativo ao domicílio ou sede do fornecedor, pertinente ao seu ramo de atividade e compatível com o objeto contratual</w:t>
      </w:r>
      <w:r>
        <w:rPr>
          <w:rFonts w:cs="Arial"/>
          <w:bCs/>
          <w:szCs w:val="20"/>
        </w:rPr>
        <w:t xml:space="preserve">; </w:t>
      </w:r>
    </w:p>
    <w:p>
      <w:pPr>
        <w:pStyle w:val="Normal"/>
        <w:numPr>
          <w:ilvl w:val="1"/>
          <w:numId w:val="4"/>
        </w:numPr>
        <w:tabs>
          <w:tab w:val="clear" w:pos="708"/>
          <w:tab w:val="left" w:pos="1440" w:leader="none"/>
        </w:tabs>
        <w:snapToGrid w:val="false"/>
        <w:spacing w:lineRule="auto" w:line="276" w:before="120" w:after="120"/>
        <w:jc w:val="both"/>
        <w:rPr>
          <w:rFonts w:cs="Arial"/>
          <w:b/>
          <w:b/>
          <w:szCs w:val="20"/>
        </w:rPr>
      </w:pPr>
      <w:r>
        <w:rPr>
          <w:rFonts w:cs="Arial"/>
          <w:szCs w:val="20"/>
        </w:rPr>
        <w:t>prova de regularidade com a Fazenda</w:t>
      </w:r>
      <w:r>
        <w:rPr>
          <w:rFonts w:cs="Arial"/>
          <w:i w:val="false"/>
          <w:iCs w:val="false"/>
          <w:color w:val="auto"/>
          <w:szCs w:val="20"/>
        </w:rPr>
        <w:t xml:space="preserve"> Estadual e/ou Municipal d</w:t>
      </w:r>
      <w:r>
        <w:rPr>
          <w:rFonts w:cs="Arial"/>
          <w:szCs w:val="20"/>
        </w:rPr>
        <w:t xml:space="preserve">o domicílio ou sede do fornecedor, relativa à atividade em cujo exercício contrata ou concorre; </w:t>
      </w:r>
    </w:p>
    <w:p>
      <w:pPr>
        <w:pStyle w:val="Normal"/>
        <w:numPr>
          <w:ilvl w:val="1"/>
          <w:numId w:val="4"/>
        </w:numPr>
        <w:tabs>
          <w:tab w:val="clear" w:pos="708"/>
          <w:tab w:val="left" w:pos="1440" w:leader="none"/>
        </w:tabs>
        <w:snapToGrid w:val="false"/>
        <w:spacing w:lineRule="auto" w:line="276" w:before="120" w:after="120"/>
        <w:jc w:val="both"/>
        <w:rPr>
          <w:rFonts w:cs="Arial"/>
          <w:b/>
          <w:b/>
          <w:szCs w:val="20"/>
        </w:rPr>
      </w:pPr>
      <w:r>
        <w:rPr>
          <w:rFonts w:cs="Arial"/>
          <w:szCs w:val="20"/>
        </w:rPr>
        <w:t>caso o fornecedor seja considerado isento dos tributo</w:t>
      </w:r>
      <w:r>
        <w:rPr>
          <w:rFonts w:cs="Arial"/>
          <w:i w:val="false"/>
          <w:iCs w:val="false"/>
          <w:color w:val="auto"/>
          <w:szCs w:val="20"/>
        </w:rPr>
        <w:t>s estaduais</w:t>
      </w:r>
      <w:r>
        <w:rPr>
          <w:rFonts w:cs="Arial"/>
          <w:b w:val="false"/>
          <w:bCs w:val="false"/>
          <w:i w:val="false"/>
          <w:iCs w:val="false"/>
          <w:color w:val="auto"/>
          <w:szCs w:val="20"/>
          <w:u w:val="none"/>
        </w:rPr>
        <w:t xml:space="preserve"> ou </w:t>
      </w:r>
      <w:r>
        <w:rPr>
          <w:rFonts w:cs="Arial"/>
          <w:i w:val="false"/>
          <w:iCs w:val="false"/>
          <w:color w:val="auto"/>
          <w:szCs w:val="20"/>
        </w:rPr>
        <w:t>municipais</w:t>
      </w:r>
      <w:r>
        <w:rPr>
          <w:rFonts w:cs="Arial"/>
          <w:color w:val="FF0000"/>
          <w:szCs w:val="20"/>
        </w:rPr>
        <w:t xml:space="preserve"> </w:t>
      </w:r>
      <w:r>
        <w:rPr>
          <w:rFonts w:cs="Arial"/>
          <w:szCs w:val="20"/>
        </w:rPr>
        <w:t xml:space="preserve">relacionados ao objeto contratual, deverá comprovar tal condição mediante a apresentação de declaração da Fazenda respectiva do seu domicílio ou sede, ou outra equivalente, na forma da lei; </w:t>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PADRO"/>
        <w:keepNext w:val="false"/>
        <w:widowControl/>
        <w:numPr>
          <w:ilvl w:val="0"/>
          <w:numId w:val="4"/>
        </w:numPr>
        <w:shd w:val="clear" w:fill="FFFFFF"/>
        <w:spacing w:before="120" w:after="120"/>
        <w:rPr>
          <w:rFonts w:ascii="Arial" w:hAnsi="Arial"/>
          <w:b/>
          <w:b/>
          <w:bCs/>
        </w:rPr>
      </w:pPr>
      <w:r>
        <w:rPr>
          <w:rFonts w:ascii="Arial" w:hAnsi="Arial"/>
          <w:b/>
          <w:bCs/>
          <w:color w:val="000000"/>
        </w:rPr>
        <w:t xml:space="preserve"> </w:t>
      </w:r>
      <w:r>
        <w:rPr>
          <w:rFonts w:ascii="Arial" w:hAnsi="Arial"/>
          <w:b/>
          <w:bCs/>
          <w:color w:val="000000"/>
        </w:rPr>
        <w:t>Além das exigências descritas acima, o fornecedor deverá apresentar os documentos listados no item 9 do Termo de Referência.</w:t>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tabs>
          <w:tab w:val="clear" w:pos="708"/>
          <w:tab w:val="left" w:pos="1440" w:leader="none"/>
        </w:tabs>
        <w:snapToGrid w:val="false"/>
        <w:spacing w:lineRule="auto" w:line="276" w:before="120" w:after="120"/>
        <w:jc w:val="both"/>
        <w:rPr>
          <w:rFonts w:cs="Arial"/>
          <w:b/>
          <w:b/>
          <w:szCs w:val="20"/>
        </w:rPr>
      </w:pPr>
      <w:r>
        <w:rPr>
          <w:rFonts w:cs="Arial"/>
          <w:b/>
          <w:szCs w:val="20"/>
        </w:rPr>
      </w:r>
    </w:p>
    <w:p>
      <w:pPr>
        <w:pStyle w:val="Normal"/>
        <w:widowControl/>
        <w:shd w:val="clear" w:fill="FFFFFF"/>
        <w:spacing w:before="120" w:after="120"/>
        <w:ind w:hanging="0"/>
        <w:jc w:val="center"/>
        <w:rPr/>
      </w:pPr>
      <w:r>
        <w:rPr>
          <w:rFonts w:ascii="Arial-BoldMT" w:hAnsi="Arial-BoldMT"/>
          <w:b/>
          <w:sz w:val="20"/>
        </w:rPr>
        <w:t>ANEXO II – MODELO DE PROPOSTA</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Razão Social:</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CNPJ:</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Endereço:</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CEP:</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Tel:</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E-mail:</w:t>
      </w:r>
    </w:p>
    <w:p>
      <w:pPr>
        <w:pStyle w:val="Normal"/>
        <w:jc w:val="left"/>
        <w:rPr>
          <w:rFonts w:ascii="Arial" w:hAnsi="Arial"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Fonts w:ascii="Arial" w:hAnsi="Arial"/>
          <w:sz w:val="20"/>
          <w:szCs w:val="20"/>
        </w:rPr>
      </w:pPr>
      <w:r>
        <w:rPr>
          <w:b/>
          <w:sz w:val="20"/>
          <w:szCs w:val="20"/>
        </w:rPr>
        <w:t>Ao Instituto Federal do Espírito Santo – Campus Centro-Serrano,</w:t>
      </w:r>
    </w:p>
    <w:p>
      <w:pPr>
        <w:pStyle w:val="Normal"/>
        <w:jc w:val="left"/>
        <w:rPr>
          <w:rFonts w:ascii="Arial" w:hAnsi="Arial"/>
        </w:rPr>
      </w:pPr>
      <w:r>
        <w:rPr>
          <w:b/>
          <w:sz w:val="20"/>
        </w:rPr>
        <w:t xml:space="preserve">                                                                                       </w:t>
      </w:r>
    </w:p>
    <w:p>
      <w:pPr>
        <w:pStyle w:val="Normal"/>
        <w:jc w:val="center"/>
        <w:rPr>
          <w:rFonts w:ascii="Arial" w:hAnsi="Arial"/>
        </w:rPr>
      </w:pPr>
      <w:r>
        <w:rPr>
          <w:b/>
          <w:sz w:val="24"/>
        </w:rPr>
        <w:t>Proposta de Preços</w:t>
      </w:r>
    </w:p>
    <w:p>
      <w:pPr>
        <w:pStyle w:val="Normal"/>
        <w:jc w:val="left"/>
        <w:rPr>
          <w:rFonts w:ascii="Arial" w:hAnsi="Arial"/>
          <w:b/>
          <w:b/>
          <w:sz w:val="22"/>
        </w:rPr>
      </w:pPr>
      <w:r>
        <w:rPr>
          <w:b/>
          <w:sz w:val="22"/>
        </w:rPr>
      </w:r>
    </w:p>
    <w:p>
      <w:pPr>
        <w:pStyle w:val="Normal"/>
        <w:jc w:val="left"/>
        <w:rPr>
          <w:rFonts w:ascii="Arial" w:hAnsi="Arial"/>
          <w:b/>
          <w:b/>
          <w:sz w:val="22"/>
        </w:rPr>
      </w:pPr>
      <w:r>
        <w:rPr>
          <w:b/>
          <w:sz w:val="22"/>
        </w:rPr>
      </w:r>
    </w:p>
    <w:p>
      <w:pPr>
        <w:pStyle w:val="Normal"/>
        <w:jc w:val="left"/>
        <w:rPr>
          <w:rFonts w:ascii="Arial" w:hAnsi="Arial"/>
          <w:b/>
          <w:b/>
          <w:sz w:val="22"/>
        </w:rPr>
      </w:pPr>
      <w:r>
        <w:rPr>
          <w:b/>
          <w:sz w:val="22"/>
        </w:rPr>
      </w:r>
    </w:p>
    <w:tbl>
      <w:tblPr>
        <w:tblW w:w="9975" w:type="dxa"/>
        <w:jc w:val="left"/>
        <w:tblInd w:w="-449" w:type="dxa"/>
        <w:tblLayout w:type="fixed"/>
        <w:tblCellMar>
          <w:top w:w="0" w:type="dxa"/>
          <w:left w:w="108" w:type="dxa"/>
          <w:bottom w:w="0" w:type="dxa"/>
          <w:right w:w="108" w:type="dxa"/>
        </w:tblCellMar>
        <w:tblLook w:firstRow="1" w:noVBand="1" w:lastRow="0" w:firstColumn="1" w:lastColumn="0" w:noHBand="0" w:val="04a0"/>
      </w:tblPr>
      <w:tblGrid>
        <w:gridCol w:w="852"/>
        <w:gridCol w:w="620"/>
        <w:gridCol w:w="4474"/>
        <w:gridCol w:w="1028"/>
        <w:gridCol w:w="842"/>
        <w:gridCol w:w="1080"/>
        <w:gridCol w:w="1079"/>
      </w:tblGrid>
      <w:tr>
        <w:trPr/>
        <w:tc>
          <w:tcPr>
            <w:tcW w:w="852" w:type="dxa"/>
            <w:tcBorders>
              <w:top w:val="single" w:sz="4" w:space="0" w:color="000000"/>
              <w:left w:val="single" w:sz="4" w:space="0" w:color="000000"/>
              <w:bottom w:val="single" w:sz="4" w:space="0" w:color="000000"/>
            </w:tcBorders>
            <w:vAlign w:val="center"/>
          </w:tcPr>
          <w:p>
            <w:pPr>
              <w:pStyle w:val="Normal"/>
              <w:widowControl w:val="false"/>
              <w:suppressAutoHyphens w:val="true"/>
              <w:jc w:val="center"/>
              <w:rPr>
                <w:rFonts w:ascii="Arial" w:hAnsi="Arial" w:eastAsia="Times New Roman" w:cs="Arial"/>
                <w:b/>
                <w:b/>
                <w:bCs/>
                <w:color w:val="000000"/>
                <w:kern w:val="0"/>
                <w:sz w:val="16"/>
                <w:szCs w:val="16"/>
                <w:lang w:val="pt-BR" w:eastAsia="pt-BR" w:bidi="ar-SA"/>
              </w:rPr>
            </w:pPr>
            <w:r>
              <w:rPr>
                <w:rFonts w:eastAsia="Times New Roman" w:cs="Arial"/>
                <w:b/>
                <w:bCs/>
                <w:color w:val="000000"/>
                <w:kern w:val="0"/>
                <w:sz w:val="16"/>
                <w:szCs w:val="16"/>
                <w:lang w:val="pt-BR" w:eastAsia="pt-BR" w:bidi="ar-SA"/>
              </w:rPr>
              <w:t>GRUPO</w:t>
            </w:r>
          </w:p>
        </w:tc>
        <w:tc>
          <w:tcPr>
            <w:tcW w:w="6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ITEM</w:t>
            </w:r>
          </w:p>
        </w:tc>
        <w:tc>
          <w:tcPr>
            <w:tcW w:w="44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6"/>
                <w:szCs w:val="16"/>
              </w:rPr>
            </w:pPr>
            <w:r>
              <w:rPr>
                <w:rFonts w:cs="Arial"/>
                <w:b/>
                <w:bCs/>
                <w:color w:val="000000"/>
                <w:sz w:val="16"/>
                <w:szCs w:val="16"/>
              </w:rPr>
              <w:t>DESCRIÇÃO/</w:t>
            </w:r>
          </w:p>
          <w:p>
            <w:pPr>
              <w:pStyle w:val="Normal"/>
              <w:widowControl w:val="false"/>
              <w:suppressAutoHyphens w:val="true"/>
              <w:jc w:val="center"/>
              <w:rPr>
                <w:rFonts w:ascii="Arial" w:hAnsi="Arial"/>
                <w:sz w:val="16"/>
                <w:szCs w:val="16"/>
              </w:rPr>
            </w:pPr>
            <w:r>
              <w:rPr>
                <w:rFonts w:cs="Arial"/>
                <w:b/>
                <w:bCs/>
                <w:color w:val="000000"/>
                <w:sz w:val="16"/>
                <w:szCs w:val="16"/>
              </w:rPr>
              <w:t>ESPECIFICAÇÃO</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UNIDADE DE MEDIDA</w:t>
            </w:r>
          </w:p>
        </w:tc>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QUANT.</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VALOR UNITÁRIO ESTIMADO</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jc w:val="center"/>
              <w:rPr>
                <w:rFonts w:ascii="Arial" w:hAnsi="Arial"/>
                <w:sz w:val="16"/>
                <w:szCs w:val="16"/>
              </w:rPr>
            </w:pPr>
            <w:r>
              <w:rPr>
                <w:rFonts w:cs="Arial"/>
                <w:b/>
                <w:bCs/>
                <w:color w:val="000000"/>
                <w:sz w:val="16"/>
                <w:szCs w:val="16"/>
              </w:rPr>
              <w:t>VALOR ESTIMADO TOTAL</w:t>
            </w:r>
          </w:p>
        </w:tc>
      </w:tr>
      <w:tr>
        <w:trPr/>
        <w:tc>
          <w:tcPr>
            <w:tcW w:w="852" w:type="dxa"/>
            <w:vMerge w:val="restart"/>
            <w:tcBorders>
              <w:top w:val="single" w:sz="4" w:space="0" w:color="000000"/>
              <w:left w:val="single" w:sz="4" w:space="0" w:color="000000"/>
              <w:bottom w:val="single" w:sz="4" w:space="0" w:color="000000"/>
            </w:tcBorders>
            <w:vAlign w:val="center"/>
          </w:tcPr>
          <w:p>
            <w:pPr>
              <w:pStyle w:val="Normal"/>
              <w:widowControl w:val="false"/>
              <w:jc w:val="center"/>
              <w:rPr>
                <w:rFonts w:ascii="Arial" w:hAnsi="Arial"/>
                <w:b/>
                <w:b/>
                <w:bCs/>
                <w:sz w:val="16"/>
                <w:szCs w:val="16"/>
                <w:eastAsianLayout w:vert="true"/>
              </w:rPr>
            </w:pPr>
            <w:r>
              <w:rPr>
                <w:b/>
                <w:bCs/>
                <w:sz w:val="16"/>
                <w:szCs w:val="16"/>
                <w:eastAsianLayout w:vert="true"/>
              </w:rPr>
              <w:t>GRUPO 1</w:t>
            </w:r>
          </w:p>
        </w:tc>
        <w:tc>
          <w:tcPr>
            <w:tcW w:w="62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6"/>
                <w:szCs w:val="16"/>
              </w:rPr>
            </w:pPr>
            <w:r>
              <w:rPr>
                <w:rFonts w:cs="Arial"/>
                <w:b w:val="false"/>
                <w:bCs w:val="false"/>
                <w:color w:val="000000"/>
                <w:sz w:val="16"/>
                <w:szCs w:val="16"/>
              </w:rPr>
              <w:t>1</w:t>
            </w:r>
          </w:p>
        </w:tc>
        <w:tc>
          <w:tcPr>
            <w:tcW w:w="4474"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6"/>
                <w:szCs w:val="16"/>
              </w:rPr>
            </w:pPr>
            <w:r>
              <w:rPr>
                <w:sz w:val="16"/>
                <w:szCs w:val="16"/>
              </w:rPr>
              <w:t>Atadura Crepom Tipo: Cerca De 13 Fios / Cm², Material: Faixa De Tecido 100% Algodão, Largura: Cerca De 15 Cm, Comprimento Em Repouso: Rolo Cerca De 1,8 M, Esterilidade: Estéril</w:t>
            </w:r>
          </w:p>
        </w:tc>
        <w:tc>
          <w:tcPr>
            <w:tcW w:w="102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rFonts w:cs="Arial"/>
                <w:b w:val="false"/>
                <w:bCs w:val="false"/>
                <w:color w:val="000000"/>
                <w:sz w:val="16"/>
                <w:szCs w:val="16"/>
              </w:rPr>
              <w:t>20</w:t>
            </w:r>
          </w:p>
        </w:tc>
        <w:tc>
          <w:tcPr>
            <w:tcW w:w="1080"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rFonts w:cs="Arial"/>
                <w:b w:val="false"/>
                <w:bCs w:val="false"/>
                <w:color w:val="000000"/>
                <w:sz w:val="16"/>
                <w:szCs w:val="16"/>
              </w:rPr>
              <w:t>R$  1,19</w:t>
            </w:r>
          </w:p>
        </w:tc>
        <w:tc>
          <w:tcPr>
            <w:tcW w:w="1079"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rFonts w:cs="Arial"/>
                <w:b w:val="false"/>
                <w:bCs w:val="false"/>
                <w:color w:val="000000"/>
                <w:sz w:val="16"/>
                <w:szCs w:val="16"/>
              </w:rPr>
              <w:t>R$  23,70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rFonts w:cs="Arial"/>
                <w:b w:val="false"/>
                <w:bCs w:val="false"/>
                <w:color w:val="000000"/>
                <w:sz w:val="16"/>
                <w:szCs w:val="16"/>
              </w:rPr>
              <w:t>2</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sz w:val="16"/>
                <w:szCs w:val="16"/>
              </w:rPr>
            </w:pPr>
            <w:r>
              <w:rPr>
                <w:sz w:val="16"/>
                <w:szCs w:val="16"/>
              </w:rPr>
            </w:r>
          </w:p>
          <w:p>
            <w:pPr>
              <w:pStyle w:val="Normal"/>
              <w:widowControl w:val="false"/>
              <w:jc w:val="center"/>
              <w:rPr>
                <w:rFonts w:ascii="Arial" w:hAnsi="Arial"/>
                <w:sz w:val="16"/>
                <w:szCs w:val="16"/>
              </w:rPr>
            </w:pPr>
            <w:r>
              <w:rPr>
                <w:sz w:val="16"/>
                <w:szCs w:val="16"/>
              </w:rPr>
              <w:t>Luva P/ Procedimento De Saúde Não Cirúrgico C/ Anvisa</w:t>
            </w:r>
          </w:p>
          <w:p>
            <w:pPr>
              <w:pStyle w:val="Normal"/>
              <w:widowControl w:val="false"/>
              <w:jc w:val="center"/>
              <w:rPr>
                <w:rFonts w:ascii="Arial" w:hAnsi="Arial"/>
                <w:sz w:val="16"/>
                <w:szCs w:val="16"/>
              </w:rPr>
            </w:pPr>
            <w:r>
              <w:rPr>
                <w:sz w:val="16"/>
                <w:szCs w:val="16"/>
              </w:rPr>
              <w:t>Material: Borracha Natural Látex, Superfície: Superfície Texturizada, Formato: Ambidestra, Pó: Com Pó Bioabsorvível, Cor: C/ Cor, Tamanho: Grande G, Esterilidade: Não Estéril, Uso Único</w:t>
            </w:r>
          </w:p>
          <w:p>
            <w:pPr>
              <w:pStyle w:val="Normal"/>
              <w:widowControl w:val="false"/>
              <w:jc w:val="center"/>
              <w:rPr>
                <w:rFonts w:ascii="Arial" w:hAnsi="Arial"/>
                <w:sz w:val="16"/>
                <w:szCs w:val="16"/>
              </w:rPr>
            </w:pPr>
            <w:r>
              <w:rPr>
                <w:sz w:val="16"/>
                <w:szCs w:val="16"/>
              </w:rPr>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CX c/100</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R$ 18,82</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R$ 37,63</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3</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szCs w:val="16"/>
              </w:rPr>
              <w:t xml:space="preserve">Máscara Cirúrgica Material: Não Tecido 100% Polipropileno, Filtro: Elemento Filtrante Interno, Eficiência: Efp Maior Que 98% E Bfe Maior Que 95%, Quantidade </w:t>
            </w:r>
            <w:r>
              <w:rPr>
                <w:sz w:val="16"/>
              </w:rPr>
              <w:t>Camadas: Mínimo 3 Camadas, Modelo:</w:t>
            </w:r>
          </w:p>
          <w:p>
            <w:pPr>
              <w:pStyle w:val="Normal"/>
              <w:widowControl w:val="false"/>
              <w:jc w:val="center"/>
              <w:rPr>
                <w:rFonts w:ascii="Arial" w:hAnsi="Arial"/>
              </w:rPr>
            </w:pPr>
            <w:r>
              <w:rPr>
                <w:sz w:val="16"/>
              </w:rPr>
              <w:t xml:space="preserve">Ajustável, Clipe Nasal, Formato: Retangular, C/ Pregas Horizontais, Cor: C/ Cor, Tamanho: Adulto, </w:t>
            </w:r>
            <w:r>
              <w:rPr>
                <w:sz w:val="16"/>
                <w:szCs w:val="16"/>
              </w:rPr>
              <w:t>Esterilidade: Descartável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CX c/100</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R$ 12,00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R$ 24,00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4</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Bolsa Térmica Uso Em Saúde Material*: Polímero, Composição: C/ Gel Atóxico, Capacidade*: Cerca de 1000 ML, Características </w:t>
            </w:r>
            <w:r>
              <w:rPr>
                <w:sz w:val="16"/>
                <w:szCs w:val="16"/>
              </w:rPr>
              <w:t>Adicionais*: Selada</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R$ 29,90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R$ 59,80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5</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Imobilizador (Órtese) Tipo: Bota Anatômica, Material: Tecido Resistente, Adicionais: C/ Barbatanas Em Duralumínio, Tamanho: Tamanho M, Posição: Bilateral, Modelo: Longo, Tipo Fecho: Tiras C/ Velcro Ajustáveis, Tipo Sola: Sola De Borracha </w:t>
            </w:r>
            <w:r>
              <w:rPr>
                <w:sz w:val="16"/>
                <w:szCs w:val="16"/>
              </w:rPr>
              <w:t>Antiderrapante</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R$ 109,86</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R$ 109,86</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6</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Imobilizador (Órtese) Tipo: Tipoia Funcional, Material: Tecido Resistente Acolchoado, Adicionais: Apoio Para Abdução E Alças Reguláveis, Tamanho: Tamanho M, Posição: Bilateral, Tipo Fecho: Fecho De Engate </w:t>
            </w:r>
            <w:r>
              <w:rPr>
                <w:sz w:val="16"/>
                <w:szCs w:val="16"/>
              </w:rPr>
              <w:t>Rápido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R$ 48,00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R$ 48,00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7</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Clorexidina Digliconato Aspecto Físico: Líquido, Concentração: Em Solução </w:t>
            </w:r>
            <w:r>
              <w:rPr>
                <w:sz w:val="16"/>
                <w:szCs w:val="16"/>
              </w:rPr>
              <w:t>Aquosa À 20%</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Frasco</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R$ 16,50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R$ 33,00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8</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Gaze Uso Em Saúde Modelo: Compressa C/ Dobras E Camadas, Material: Tecido 100% Viscose / Rayon, Densidade: Cerca De 13 Fios / Cm2, Radiopacidade: Sem Elemento Radiopaco, Dimensão Fechada: Cerca De 7,5 X 7,5 Cm, Esterilidade: Estéril, Uso </w:t>
            </w:r>
            <w:r>
              <w:rPr>
                <w:sz w:val="16"/>
                <w:szCs w:val="16"/>
              </w:rPr>
              <w:t>Único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PCT</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50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R$ 0,63</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R$ 31,25</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9</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Lanceta Material Lâmina: aço desligada, ponta afiada, trifacetada. Uso: descartável. Características adicionais: estéril, embalagem individual. </w:t>
            </w:r>
            <w:r>
              <w:rPr>
                <w:sz w:val="16"/>
                <w:szCs w:val="16"/>
              </w:rPr>
              <w:t>Tipo: com sistema retrátil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CX c/200</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R$ 25,14</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R$ 50,28</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10</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Oxímetro Digital De Dedo Medidor De Saturação De </w:t>
            </w:r>
            <w:r>
              <w:rPr>
                <w:sz w:val="16"/>
                <w:szCs w:val="16"/>
              </w:rPr>
              <w:t>Oxigênio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R$ 95,48</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R$ 190,96</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11</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Esfigmomanômetro Ajuste: Digital, Elétrico. Tipo*: De Braço, Faixa De Operação: Até 300MMHG, Material Braçadeira: Braçadeira Em Nylon, Tipo Fecho: Fecho Em Velcro, Tamanho: </w:t>
            </w:r>
            <w:r>
              <w:rPr>
                <w:sz w:val="16"/>
                <w:szCs w:val="16"/>
              </w:rPr>
              <w:t>Adulto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R$ 101,90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R$ 203,80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12</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Termômetro Clínico Ajuste: Digital, Escala: Até 43°C, Tipo*: Uso Axilar E Oral, Componentes: C /Alarmes, Memória: Memória Última Medição, Embalagem: Embalagem </w:t>
            </w:r>
            <w:r>
              <w:rPr>
                <w:sz w:val="16"/>
                <w:szCs w:val="16"/>
              </w:rPr>
              <w:t>Individual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R$ 14,65</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R$ 29,30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13</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Fita Adesiva – Uso Cutâneo Tipo: Esparadrapo Impermeável, Material Dorso: À Base De Algodão E Fibra Sintética, Tipo De Adesivo: C/ Látex Natural, Largura Da Fita: Cerca De 100 Mm, Cor: C/ Cor, Apresentação: Rolo C/ Capa Protetora, </w:t>
            </w:r>
            <w:r>
              <w:rPr>
                <w:sz w:val="16"/>
                <w:szCs w:val="16"/>
              </w:rPr>
              <w:t>Esterilidade: Não Estéril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03</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R$ 8,13</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R$ 24,39</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14</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Monitor Portátil Operação: Digital, Tipo Amostra: Sangue Capilar, Tipo De Análise: Quantitativo De Glicose, Faixa De Operação: Até 600MG/DL, Tempo Resposta: Até 10S, Memória: 250 A 500 Testes, Componentes: Com Lancetas, Tiras, Acessórios: Lancetador, </w:t>
            </w:r>
            <w:r>
              <w:rPr>
                <w:sz w:val="16"/>
                <w:szCs w:val="16"/>
              </w:rPr>
              <w:t>Solução Controle</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R$ 64,50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R$ 129,00</w:t>
            </w:r>
          </w:p>
        </w:tc>
      </w:tr>
      <w:tr>
        <w:trPr/>
        <w:tc>
          <w:tcPr>
            <w:tcW w:w="852" w:type="dxa"/>
            <w:vMerge w:val="continue"/>
            <w:tcBorders>
              <w:top w:val="single" w:sz="4" w:space="0" w:color="000000"/>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15</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Abaixador De Língua Material: Madeira Lisa, </w:t>
            </w:r>
            <w:r>
              <w:rPr>
                <w:sz w:val="16"/>
                <w:szCs w:val="16"/>
              </w:rPr>
              <w:t xml:space="preserve">Polida, C/ Borda </w:t>
            </w:r>
            <w:r>
              <w:rPr>
                <w:sz w:val="16"/>
              </w:rPr>
              <w:t xml:space="preserve">Arredondada, Comprimento: Cerca De 14 Cm, Esterilidade: Não Estéril, Uso Único, Apresentação: Embalagem </w:t>
            </w:r>
            <w:r>
              <w:rPr>
                <w:sz w:val="16"/>
                <w:szCs w:val="16"/>
              </w:rPr>
              <w:t>Individual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10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R$ 5,08</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R$ 50,75</w:t>
            </w:r>
          </w:p>
        </w:tc>
      </w:tr>
      <w:tr>
        <w:trPr/>
        <w:tc>
          <w:tcPr>
            <w:tcW w:w="852" w:type="dxa"/>
            <w:tcBorders>
              <w:left w:val="single" w:sz="4" w:space="0" w:color="000000"/>
              <w:bottom w:val="single" w:sz="4" w:space="0" w:color="000000"/>
            </w:tcBorders>
            <w:vAlign w:val="center"/>
          </w:tcPr>
          <w:p>
            <w:pPr>
              <w:pStyle w:val="Normal"/>
              <w:widowControl w:val="false"/>
              <w:jc w:val="center"/>
              <w:rPr>
                <w:rFonts w:ascii="Arial" w:hAnsi="Arial"/>
                <w:b/>
                <w:b/>
                <w:bCs/>
                <w:sz w:val="16"/>
                <w:szCs w:val="16"/>
                <w:eastAsianLayout w:vert="true"/>
              </w:rPr>
            </w:pPr>
            <w:r>
              <w:rPr>
                <w:b/>
                <w:bCs/>
                <w:sz w:val="16"/>
                <w:szCs w:val="16"/>
                <w:eastAsianLayout w:vert="true"/>
              </w:rPr>
              <w:t>Item 16</w:t>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16</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Absorvente Higiênico Tipo: Normal Com Abas, Formato: Tradicional, Material: Polpa De Celulose Polimero Acrilico, Polietileno, Tipo Uso: Externo, Tamanho: Médio, Tipo Adesivo: Termoplástico Protegido Fita Papel Siliconizado, Componente Adicional: </w:t>
            </w:r>
            <w:r>
              <w:rPr>
                <w:sz w:val="16"/>
                <w:szCs w:val="16"/>
              </w:rPr>
              <w:t>Com Gel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PCT c/ 08</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40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R$ 2,31</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R$ 90,20</w:t>
            </w:r>
          </w:p>
        </w:tc>
      </w:tr>
      <w:tr>
        <w:trPr/>
        <w:tc>
          <w:tcPr>
            <w:tcW w:w="852" w:type="dxa"/>
            <w:vMerge w:val="restart"/>
            <w:tcBorders>
              <w:left w:val="single" w:sz="4" w:space="0" w:color="000000"/>
              <w:bottom w:val="single" w:sz="4" w:space="0" w:color="000000"/>
            </w:tcBorders>
            <w:vAlign w:val="center"/>
          </w:tcPr>
          <w:p>
            <w:pPr>
              <w:pStyle w:val="Normal"/>
              <w:widowControl w:val="false"/>
              <w:jc w:val="center"/>
              <w:rPr>
                <w:rFonts w:ascii="Arial" w:hAnsi="Arial"/>
                <w:b/>
                <w:b/>
                <w:bCs/>
                <w:sz w:val="16"/>
                <w:szCs w:val="16"/>
                <w:eastAsianLayout w:vert="true"/>
              </w:rPr>
            </w:pPr>
            <w:r>
              <w:rPr>
                <w:b/>
                <w:bCs/>
                <w:sz w:val="16"/>
                <w:szCs w:val="16"/>
                <w:eastAsianLayout w:vert="true"/>
              </w:rPr>
              <w:t xml:space="preserve">GRUPO </w:t>
            </w:r>
            <w:r>
              <w:rPr>
                <w:b/>
                <w:bCs/>
                <w:sz w:val="16"/>
                <w:szCs w:val="16"/>
                <w:eastAsianLayout w:vert="true"/>
              </w:rPr>
              <w:t>2</w:t>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17</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Salicilato De Metila Composição: Associada À Cânfora, Mento e Salicilato De Glicol, Concentração: 30 Mg + 38,5 Mg + 38,5 Mg + 19 MG/ML, Forma Farmacêutica: Aerossol </w:t>
            </w:r>
            <w:r>
              <w:rPr>
                <w:sz w:val="16"/>
                <w:szCs w:val="16"/>
              </w:rPr>
              <w:t>Tópico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10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R$ 21,90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R$ 218,95</w:t>
            </w:r>
          </w:p>
        </w:tc>
      </w:tr>
      <w:tr>
        <w:trPr/>
        <w:tc>
          <w:tcPr>
            <w:tcW w:w="852" w:type="dxa"/>
            <w:vMerge w:val="continue"/>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18</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Betametasona Composição: Dipropionato, Associada Ao Cetoconazol E Neomicina, Concentração: 0,5 Mg/G + 20 Mg/G + 1,5 MG/G, Forma </w:t>
            </w:r>
            <w:r>
              <w:rPr>
                <w:sz w:val="16"/>
                <w:szCs w:val="16"/>
              </w:rPr>
              <w:t>Farmaceutica: Pomada</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Bisnaga</w:t>
            </w:r>
          </w:p>
          <w:p>
            <w:pPr>
              <w:pStyle w:val="Normal"/>
              <w:widowControl w:val="false"/>
              <w:suppressAutoHyphens w:val="true"/>
              <w:spacing w:lineRule="auto" w:line="276" w:before="0" w:after="120"/>
              <w:jc w:val="center"/>
              <w:rPr>
                <w:rFonts w:ascii="Arial" w:hAnsi="Arial"/>
                <w:sz w:val="16"/>
                <w:szCs w:val="16"/>
              </w:rPr>
            </w:pPr>
            <w:r>
              <w:rPr>
                <w:sz w:val="16"/>
                <w:szCs w:val="16"/>
              </w:rPr>
              <w:t>30gr</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02</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R$ 6,50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R$ 13,00</w:t>
            </w:r>
          </w:p>
        </w:tc>
      </w:tr>
      <w:tr>
        <w:trPr/>
        <w:tc>
          <w:tcPr>
            <w:tcW w:w="852" w:type="dxa"/>
            <w:vMerge w:val="continue"/>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19</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Sais Para Reidratação Oral Composição: Sódio, Potássio, Cloreto, Citrato E Glicose, Concentração: 45 Mmol /L + 40 Mmol/L + 70 Mmol/L + 7 Mmol/L + 125 MMOL/L, Forma Farmacêutica: Solução </w:t>
            </w:r>
            <w:r>
              <w:rPr>
                <w:sz w:val="16"/>
                <w:szCs w:val="16"/>
              </w:rPr>
              <w:t>Oral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Envelope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20</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R$ 0,76</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R$ 15,20</w:t>
            </w:r>
          </w:p>
        </w:tc>
      </w:tr>
      <w:tr>
        <w:trPr/>
        <w:tc>
          <w:tcPr>
            <w:tcW w:w="852" w:type="dxa"/>
            <w:vMerge w:val="restart"/>
            <w:tcBorders>
              <w:left w:val="single" w:sz="4" w:space="0" w:color="000000"/>
              <w:bottom w:val="single" w:sz="4" w:space="0" w:color="000000"/>
            </w:tcBorders>
            <w:vAlign w:val="center"/>
          </w:tcPr>
          <w:p>
            <w:pPr>
              <w:pStyle w:val="Normal"/>
              <w:widowControl w:val="false"/>
              <w:jc w:val="center"/>
              <w:rPr>
                <w:rFonts w:ascii="Arial" w:hAnsi="Arial"/>
                <w:b/>
                <w:b/>
                <w:bCs/>
                <w:sz w:val="16"/>
                <w:szCs w:val="16"/>
                <w:eastAsianLayout w:vert="true"/>
              </w:rPr>
            </w:pPr>
            <w:r>
              <w:rPr>
                <w:b/>
                <w:bCs/>
                <w:sz w:val="16"/>
                <w:szCs w:val="16"/>
                <w:eastAsianLayout w:vert="true"/>
              </w:rPr>
              <w:t xml:space="preserve">GRUPO </w:t>
            </w:r>
            <w:r>
              <w:rPr>
                <w:b/>
                <w:bCs/>
                <w:sz w:val="16"/>
                <w:szCs w:val="16"/>
                <w:eastAsianLayout w:vert="true"/>
              </w:rPr>
              <w:t>3</w:t>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20</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Chaleira Elétrica, com acabamento inox, capacidade até 2 litros, sistema de desligamento </w:t>
            </w:r>
            <w:r>
              <w:rPr>
                <w:sz w:val="16"/>
                <w:szCs w:val="16"/>
              </w:rPr>
              <w:t>automático, jarra sem fio.</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R$ 76,05</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R$ 76,05</w:t>
            </w:r>
          </w:p>
        </w:tc>
      </w:tr>
      <w:tr>
        <w:trPr/>
        <w:tc>
          <w:tcPr>
            <w:tcW w:w="852" w:type="dxa"/>
            <w:vMerge w:val="continue"/>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21</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 xml:space="preserve">Lixeira inox, 15 litros, com pedal e balde cesto lixo </w:t>
            </w:r>
            <w:r>
              <w:rPr>
                <w:sz w:val="16"/>
                <w:szCs w:val="16"/>
              </w:rPr>
              <w:t>removível</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R$ 119,00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R$ 119,00</w:t>
            </w:r>
          </w:p>
        </w:tc>
      </w:tr>
      <w:tr>
        <w:trPr/>
        <w:tc>
          <w:tcPr>
            <w:tcW w:w="852" w:type="dxa"/>
            <w:vMerge w:val="continue"/>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r>
          </w:p>
        </w:tc>
        <w:tc>
          <w:tcPr>
            <w:tcW w:w="62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cs="Arial"/>
                <w:b w:val="false"/>
                <w:b w:val="false"/>
                <w:bCs w:val="false"/>
                <w:color w:val="000000"/>
                <w:sz w:val="16"/>
                <w:szCs w:val="16"/>
              </w:rPr>
            </w:pPr>
            <w:r>
              <w:rPr>
                <w:rFonts w:cs="Arial"/>
                <w:b w:val="false"/>
                <w:bCs w:val="false"/>
                <w:color w:val="000000"/>
                <w:sz w:val="16"/>
                <w:szCs w:val="16"/>
              </w:rPr>
              <w:t>22</w:t>
            </w:r>
          </w:p>
        </w:tc>
        <w:tc>
          <w:tcPr>
            <w:tcW w:w="4474" w:type="dxa"/>
            <w:tcBorders>
              <w:left w:val="single" w:sz="4" w:space="0" w:color="000000"/>
              <w:bottom w:val="single" w:sz="4" w:space="0" w:color="000000"/>
              <w:right w:val="single" w:sz="4" w:space="0" w:color="000000"/>
            </w:tcBorders>
            <w:vAlign w:val="center"/>
          </w:tcPr>
          <w:p>
            <w:pPr>
              <w:pStyle w:val="Normal"/>
              <w:widowControl w:val="false"/>
              <w:jc w:val="center"/>
              <w:rPr>
                <w:rFonts w:ascii="Arial" w:hAnsi="Arial"/>
              </w:rPr>
            </w:pPr>
            <w:r>
              <w:rPr>
                <w:sz w:val="16"/>
              </w:rPr>
              <w:t>Caixa Maleta Para Kit Primeiros Socorros, Medicamentos. Média. Maleta confeccionada em Polipropileno PP Material Atóxico BPA Free (Livre de BPA) Tamanho Médio, Validade: Indeterminada</w:t>
            </w:r>
          </w:p>
        </w:tc>
        <w:tc>
          <w:tcPr>
            <w:tcW w:w="1028"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Unidade</w:t>
            </w:r>
          </w:p>
        </w:tc>
        <w:tc>
          <w:tcPr>
            <w:tcW w:w="842"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01</w:t>
            </w:r>
          </w:p>
        </w:tc>
        <w:tc>
          <w:tcPr>
            <w:tcW w:w="1080"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R$ 241,90</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t>R$ 241,90</w:t>
            </w:r>
          </w:p>
        </w:tc>
      </w:tr>
      <w:tr>
        <w:trPr/>
        <w:tc>
          <w:tcPr>
            <w:tcW w:w="852" w:type="dxa"/>
            <w:tcBorders>
              <w:left w:val="single" w:sz="4" w:space="0" w:color="000000"/>
              <w:bottom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r>
          </w:p>
        </w:tc>
        <w:tc>
          <w:tcPr>
            <w:tcW w:w="8044" w:type="dxa"/>
            <w:gridSpan w:val="5"/>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sz w:val="16"/>
                <w:szCs w:val="16"/>
              </w:rPr>
            </w:pPr>
            <w:r>
              <w:rPr>
                <w:sz w:val="16"/>
                <w:szCs w:val="16"/>
              </w:rPr>
            </w:r>
          </w:p>
          <w:p>
            <w:pPr>
              <w:pStyle w:val="Normal"/>
              <w:widowControl w:val="false"/>
              <w:suppressAutoHyphens w:val="true"/>
              <w:spacing w:lineRule="auto" w:line="276" w:before="0" w:after="120"/>
              <w:jc w:val="center"/>
              <w:rPr>
                <w:rFonts w:ascii="Arial" w:hAnsi="Arial"/>
                <w:sz w:val="16"/>
                <w:szCs w:val="16"/>
              </w:rPr>
            </w:pPr>
            <w:r>
              <w:rPr>
                <w:rFonts w:cs="Arial"/>
                <w:b/>
                <w:bCs/>
                <w:color w:val="000000"/>
                <w:sz w:val="16"/>
                <w:szCs w:val="16"/>
              </w:rPr>
              <w:t>VALOR ESTIMADO TOTAL</w:t>
            </w:r>
          </w:p>
        </w:tc>
        <w:tc>
          <w:tcPr>
            <w:tcW w:w="1079" w:type="dxa"/>
            <w:tcBorders>
              <w:left w:val="single" w:sz="4" w:space="0" w:color="000000"/>
              <w:bottom w:val="single" w:sz="4" w:space="0" w:color="000000"/>
              <w:right w:val="single" w:sz="4" w:space="0" w:color="000000"/>
            </w:tcBorders>
            <w:vAlign w:val="center"/>
          </w:tcPr>
          <w:p>
            <w:pPr>
              <w:pStyle w:val="Normal"/>
              <w:widowControl w:val="false"/>
              <w:suppressAutoHyphens w:val="true"/>
              <w:spacing w:lineRule="auto" w:line="276" w:before="0" w:after="120"/>
              <w:jc w:val="center"/>
              <w:rPr>
                <w:rFonts w:ascii="Arial" w:hAnsi="Arial"/>
                <w:b/>
                <w:b/>
                <w:bCs/>
                <w:sz w:val="16"/>
                <w:szCs w:val="16"/>
              </w:rPr>
            </w:pPr>
            <w:r>
              <w:rPr>
                <w:b/>
                <w:bCs/>
                <w:sz w:val="16"/>
                <w:szCs w:val="16"/>
              </w:rPr>
            </w:r>
          </w:p>
          <w:p>
            <w:pPr>
              <w:pStyle w:val="Normal"/>
              <w:widowControl w:val="false"/>
              <w:suppressAutoHyphens w:val="true"/>
              <w:spacing w:lineRule="auto" w:line="276" w:before="0" w:after="120"/>
              <w:jc w:val="center"/>
              <w:rPr>
                <w:rFonts w:ascii="Arial" w:hAnsi="Arial"/>
                <w:sz w:val="16"/>
                <w:szCs w:val="16"/>
              </w:rPr>
            </w:pPr>
            <w:r>
              <w:rPr>
                <w:rFonts w:cs="Arial"/>
                <w:b/>
                <w:bCs/>
                <w:color w:val="000000"/>
                <w:sz w:val="16"/>
                <w:szCs w:val="16"/>
              </w:rPr>
              <w:t>R$  1.822,02</w:t>
            </w:r>
          </w:p>
        </w:tc>
      </w:tr>
    </w:tbl>
    <w:p>
      <w:pPr>
        <w:pStyle w:val="Normal"/>
        <w:jc w:val="left"/>
        <w:rPr>
          <w:rFonts w:ascii="Arial" w:hAnsi="Arial"/>
          <w:b/>
          <w:b/>
          <w:sz w:val="22"/>
        </w:rPr>
      </w:pPr>
      <w:r>
        <w:rPr>
          <w:b/>
          <w:sz w:val="22"/>
        </w:rPr>
      </w:r>
    </w:p>
    <w:p>
      <w:pPr>
        <w:pStyle w:val="Normal"/>
        <w:jc w:val="left"/>
        <w:rPr>
          <w:rFonts w:ascii="Arial" w:hAnsi="Arial"/>
          <w:b/>
          <w:b/>
          <w:sz w:val="22"/>
        </w:rPr>
      </w:pPr>
      <w:r>
        <w:rPr>
          <w:b/>
          <w:sz w:val="22"/>
        </w:rPr>
      </w:r>
    </w:p>
    <w:p>
      <w:pPr>
        <w:pStyle w:val="Normal"/>
        <w:jc w:val="left"/>
        <w:rPr>
          <w:rFonts w:ascii="Arial" w:hAnsi="Arial"/>
          <w:b/>
          <w:b/>
          <w:sz w:val="22"/>
        </w:rPr>
      </w:pPr>
      <w:r>
        <w:rPr>
          <w:b/>
          <w:sz w:val="22"/>
        </w:rPr>
      </w:r>
    </w:p>
    <w:p>
      <w:pPr>
        <w:pStyle w:val="Normal"/>
        <w:jc w:val="left"/>
        <w:rPr>
          <w:rFonts w:ascii="Arial" w:hAnsi="Arial"/>
          <w:b/>
          <w:b/>
          <w:sz w:val="22"/>
        </w:rPr>
      </w:pPr>
      <w:r>
        <w:rPr>
          <w:b/>
          <w:sz w:val="22"/>
        </w:rPr>
      </w:r>
    </w:p>
    <w:p>
      <w:pPr>
        <w:pStyle w:val="Normal"/>
        <w:jc w:val="left"/>
        <w:rPr>
          <w:rFonts w:ascii="Arial" w:hAnsi="Arial"/>
        </w:rPr>
      </w:pPr>
      <w:r>
        <w:rPr>
          <w:b/>
          <w:sz w:val="22"/>
        </w:rPr>
        <w:t xml:space="preserve">                                                   </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Valor Total: R$ __________,____</w:t>
      </w:r>
    </w:p>
    <w:p>
      <w:pPr>
        <w:pStyle w:val="Normal"/>
        <w:jc w:val="left"/>
        <w:rPr>
          <w:rFonts w:ascii="Arial" w:hAnsi="Arial"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(Local_____________________ - ____, _________ de ____________ de 20____)</w:t>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Nome:</w:t>
      </w:r>
    </w:p>
    <w:p>
      <w:pPr>
        <w:pStyle w:val="Normal"/>
        <w:jc w:val="left"/>
        <w:rPr/>
      </w:pPr>
      <w:r>
        <w:rPr>
          <w:rStyle w:val="Strong"/>
          <w:rFonts w:eastAsia="Calibri" w:cs="Calibri" w:cstheme="minorHAnsi"/>
          <w:b w:val="false"/>
          <w:bCs w:val="false"/>
          <w:color w:val="000000"/>
          <w:kern w:val="0"/>
          <w:sz w:val="20"/>
          <w:szCs w:val="20"/>
          <w:shd w:fill="FFFFFF" w:val="clear"/>
          <w:lang w:val="pt-BR" w:eastAsia="pt-BR" w:bidi="ar-SA"/>
        </w:rPr>
        <w:t>Cargo:</w:t>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jc w:val="left"/>
        <w:rPr>
          <w:rStyle w:val="Strong"/>
          <w:rFonts w:eastAsia="Calibri" w:cs="Calibri" w:cstheme="minorHAnsi"/>
          <w:b w:val="false"/>
          <w:b w:val="false"/>
          <w:bCs w:val="false"/>
          <w:color w:val="000000"/>
          <w:kern w:val="0"/>
          <w:sz w:val="20"/>
          <w:szCs w:val="20"/>
          <w:shd w:fill="FFFFFF" w:val="clear"/>
          <w:lang w:val="pt-BR" w:eastAsia="pt-BR" w:bidi="ar-SA"/>
        </w:rPr>
      </w:pPr>
      <w:r>
        <w:rPr>
          <w:rFonts w:eastAsia="Calibri" w:cs="Calibri" w:cstheme="minorHAnsi"/>
          <w:b w:val="false"/>
          <w:bCs w:val="false"/>
          <w:color w:val="000000"/>
          <w:kern w:val="0"/>
          <w:sz w:val="20"/>
          <w:szCs w:val="20"/>
          <w:shd w:fill="FFFFFF" w:val="clear"/>
          <w:lang w:val="pt-BR" w:eastAsia="pt-BR" w:bidi="ar-SA"/>
        </w:rPr>
      </w:r>
    </w:p>
    <w:p>
      <w:pPr>
        <w:pStyle w:val="Normal"/>
        <w:widowControl/>
        <w:shd w:val="clear" w:fill="FFFFFF"/>
        <w:spacing w:before="120" w:after="120"/>
        <w:ind w:hanging="0"/>
        <w:jc w:val="center"/>
        <w:rPr/>
      </w:pPr>
      <w:r>
        <w:rPr>
          <w:rFonts w:ascii="Arial-BoldMT" w:hAnsi="Arial-BoldMT"/>
          <w:b/>
        </w:rPr>
        <w:t>ANEXO III – TERMO DE REFERÊNCIA</w:t>
      </w:r>
    </w:p>
    <w:sectPr>
      <w:headerReference w:type="default" r:id="rId5"/>
      <w:footerReference w:type="default" r:id="rId6"/>
      <w:type w:val="nextPage"/>
      <w:pgSz w:w="11906" w:h="16838"/>
      <w:pgMar w:left="1701" w:right="1701" w:gutter="0" w:header="1417" w:top="1930"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Calibri Light">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ArialMT">
    <w:charset w:val="00"/>
    <w:family w:val="roman"/>
    <w:pitch w:val="variable"/>
  </w:font>
  <w:font w:name="Arial-Bold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color w:val="auto"/>
        <w:sz w:val="18"/>
        <w:szCs w:val="18"/>
      </w:rPr>
    </w:pPr>
    <w:r>
      <w:rPr>
        <w:color w:val="auto"/>
        <w:sz w:val="18"/>
        <w:szCs w:val="18"/>
      </w:rPr>
      <w:t>Aviso de Dispensa Eletrônica – Lei nº 14.133/21 e IN SEGES/ME nº 67/2021</w:t>
    </w:r>
  </w:p>
  <w:p>
    <w:pPr>
      <w:pStyle w:val="Rodap"/>
      <w:rPr>
        <w:rFonts w:ascii="Arial" w:hAnsi="Arial"/>
        <w:color w:val="auto"/>
        <w:sz w:val="18"/>
        <w:szCs w:val="18"/>
      </w:rPr>
    </w:pPr>
    <w:r>
      <w:rPr>
        <w:color w:val="auto"/>
        <w:sz w:val="18"/>
        <w:szCs w:val="18"/>
      </w:rPr>
      <w:t xml:space="preserve">Processo: </w:t>
    </w:r>
    <w:r>
      <w:rPr>
        <w:b w:val="false"/>
        <w:i w:val="false"/>
        <w:caps w:val="false"/>
        <w:smallCaps w:val="false"/>
        <w:color w:val="auto"/>
        <w:spacing w:val="0"/>
        <w:sz w:val="18"/>
        <w:szCs w:val="18"/>
      </w:rPr>
      <w:t>23544.001523/2025-98</w:t>
    </w:r>
    <w:r>
      <w:rPr>
        <w:color w:val="auto"/>
        <w:sz w:val="18"/>
        <w:szCs w:val="18"/>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18">
          <wp:simplePos x="0" y="0"/>
          <wp:positionH relativeFrom="column">
            <wp:posOffset>652780</wp:posOffset>
          </wp:positionH>
          <wp:positionV relativeFrom="paragraph">
            <wp:posOffset>-512445</wp:posOffset>
          </wp:positionV>
          <wp:extent cx="4222750" cy="1581150"/>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tretch>
                    <a:fillRect/>
                  </a:stretch>
                </pic:blipFill>
                <pic:spPr bwMode="auto">
                  <a:xfrm>
                    <a:off x="0" y="0"/>
                    <a:ext cx="4222750" cy="158115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Fonts w:ascii="Arial" w:hAnsi="Arial"/>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lvl>
    <w:lvl w:ilvl="1">
      <w:start w:val="1"/>
      <w:numFmt w:val="decimal"/>
      <w:lvlText w:val="%1.%2"/>
      <w:lvlJc w:val="left"/>
      <w:pPr>
        <w:tabs>
          <w:tab w:val="num" w:pos="0"/>
        </w:tabs>
        <w:ind w:left="927" w:hanging="360"/>
      </w:pPr>
      <w:rPr>
        <w:b w:val="false"/>
      </w:rPr>
    </w:lvl>
    <w:lvl w:ilvl="2">
      <w:start w:val="1"/>
      <w:numFmt w:val="decimal"/>
      <w:lvlText w:val="%1.%2.%3"/>
      <w:lvlJc w:val="left"/>
      <w:pPr>
        <w:tabs>
          <w:tab w:val="num" w:pos="0"/>
        </w:tabs>
        <w:ind w:left="1854" w:hanging="720"/>
      </w:pPr>
      <w:rPr>
        <w:b w:val="false"/>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ascii="Arial" w:hAnsi="Arial" w:cs="Arial"/>
        <w:color w:val="auto"/>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auto"/>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auto"/>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Ttulo2">
    <w:name w:val="Heading 2"/>
    <w:basedOn w:val="Normal"/>
    <w:qFormat/>
    <w:pPr>
      <w:ind w:left="154" w:right="0" w:hanging="0"/>
      <w:outlineLvl w:val="2"/>
    </w:pPr>
    <w:rPr>
      <w:rFonts w:ascii="Times New Roman" w:hAnsi="Times New Roman" w:eastAsia="Times New Roman" w:cs="Times New Roman"/>
      <w:b/>
      <w:bCs/>
      <w:sz w:val="21"/>
      <w:szCs w:val="21"/>
      <w:lang w:val="pt-PT" w:eastAsia="en-US" w:bidi="ar-SA"/>
    </w:rPr>
  </w:style>
  <w:style w:type="paragraph" w:styleId="Ttulo3">
    <w:name w:val="Heading 3"/>
    <w:basedOn w:val="Normal"/>
    <w:qFormat/>
    <w:pPr>
      <w:ind w:left="154" w:right="0" w:hanging="0"/>
      <w:outlineLvl w:val="3"/>
    </w:pPr>
    <w:rPr>
      <w:rFonts w:ascii="Times New Roman" w:hAnsi="Times New Roman" w:eastAsia="Times New Roman" w:cs="Times New Roman"/>
      <w:b/>
      <w:bCs/>
      <w:sz w:val="18"/>
      <w:szCs w:val="18"/>
      <w:lang w:val="pt-PT" w:eastAsia="en-US" w:bidi="ar-SA"/>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name w:val="Hyperlink"/>
    <w:rsid w:val="002f5eff"/>
    <w:rPr>
      <w:color w:val="000080"/>
      <w:u w:val="single"/>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Strong">
    <w:name w:val="Strong"/>
    <w:basedOn w:val="DefaultParagraphFont"/>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next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auto"/>
    </w:rPr>
  </w:style>
  <w:style w:type="paragraph" w:styleId="Nivel5" w:customStyle="1">
    <w:name w:val="Nivel 5"/>
    <w:basedOn w:val="Nivel4"/>
    <w:qFormat/>
    <w:rsid w:val="002f5eff"/>
    <w:pPr>
      <w:tabs>
        <w:tab w:val="clear" w:pos="7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708"/>
        <w:tab w:val="center" w:pos="4252" w:leader="none"/>
        <w:tab w:val="right" w:pos="8504" w:leader="none"/>
      </w:tabs>
    </w:pPr>
    <w:rPr/>
  </w:style>
  <w:style w:type="paragraph" w:styleId="Rodap">
    <w:name w:val="Footer"/>
    <w:basedOn w:val="Normal"/>
    <w:link w:val="RodapChar"/>
    <w:uiPriority w:val="99"/>
    <w:unhideWhenUsed/>
    <w:rsid w:val="00805244"/>
    <w:pPr>
      <w:tabs>
        <w:tab w:val="clear" w:pos="708"/>
        <w:tab w:val="center" w:pos="4252" w:leader="none"/>
        <w:tab w:val="right" w:pos="8504" w:leader="none"/>
      </w:tabs>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Contedodoquadro">
    <w:name w:val="Conteúdo do quadro"/>
    <w:basedOn w:val="Normal"/>
    <w:qFormat/>
    <w:pPr/>
    <w:rPr/>
  </w:style>
  <w:style w:type="paragraph" w:styleId="Ttulododocumento">
    <w:name w:val="Title"/>
    <w:basedOn w:val="Normal"/>
    <w:qFormat/>
    <w:pPr>
      <w:spacing w:before="85" w:after="0"/>
      <w:ind w:left="2678" w:right="2659" w:hanging="0"/>
      <w:jc w:val="center"/>
    </w:pPr>
    <w:rPr>
      <w:rFonts w:ascii="Times New Roman" w:hAnsi="Times New Roman" w:eastAsia="Times New Roman" w:cs="Times New Roman"/>
      <w:b/>
      <w:bCs/>
      <w:sz w:val="36"/>
      <w:szCs w:val="36"/>
      <w:lang w:val="pt-PT" w:eastAsia="en-US" w:bidi="ar-SA"/>
    </w:rPr>
  </w:style>
  <w:style w:type="paragraph" w:styleId="TableParagraph">
    <w:name w:val="Table Paragraph"/>
    <w:basedOn w:val="Normal"/>
    <w:qFormat/>
    <w:pPr/>
    <w:rPr>
      <w:rFonts w:ascii="Times New Roman" w:hAnsi="Times New Roman" w:eastAsia="Times New Roman" w:cs="Times New Roman"/>
      <w:lang w:val="pt-PT" w:eastAsia="en-US" w:bidi="ar-SA"/>
    </w:rPr>
  </w:style>
  <w:style w:type="paragraph" w:styleId="Linhahorizontal">
    <w:name w:val="Linha horizontal"/>
    <w:basedOn w:val="Normal"/>
    <w:next w:val="Corpodotexto"/>
    <w:qFormat/>
    <w:pPr>
      <w:suppressLineNumbers/>
      <w:pBdr>
        <w:bottom w:val="double" w:sz="2" w:space="0" w:color="808080"/>
      </w:pBdr>
      <w:spacing w:before="0" w:after="283"/>
    </w:pPr>
    <w:rPr>
      <w:sz w:val="12"/>
      <w:szCs w:val="12"/>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lanalto.gov.br/ccivil_03/LEIS/L6404consol.htm"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wmf"/>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Application>LibreOffice/7.4.2.3$Windows_X86_64 LibreOffice_project/382eef1f22670f7f4118c8c2dd222ec7ad009daf</Application>
  <AppVersion>15.0000</AppVersion>
  <Pages>17</Pages>
  <Words>6128</Words>
  <Characters>35004</Characters>
  <CharactersWithSpaces>40695</CharactersWithSpaces>
  <Paragraphs>500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2021-08-05T16:35:00Z</dcterms:created>
  <dc:creator>Hugo Sales</dc:creator>
  <dc:description/>
  <dc:language>pt-BR</dc:language>
  <cp:lastModifiedBy/>
  <cp:lastPrinted>2026-04-09T11:03:16Z</cp:lastPrinted>
  <dcterms:modified xsi:type="dcterms:W3CDTF">2026-04-09T11:13:41Z</dcterms:modified>
  <cp:revision>50</cp:revision>
  <dc:subject/>
  <dc:title/>
</cp:coreProperties>
</file>

<file path=docProps/custom.xml><?xml version="1.0" encoding="utf-8"?>
<Properties xmlns="http://schemas.openxmlformats.org/officeDocument/2006/custom-properties" xmlns:vt="http://schemas.openxmlformats.org/officeDocument/2006/docPropsVTypes"/>
</file>